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default"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eastAsia="zh-CN"/>
        </w:rPr>
        <w:t>玉田县</w:t>
      </w:r>
      <w:r>
        <w:rPr>
          <w:rFonts w:hint="eastAsia" w:ascii="方正小标宋_GBK" w:hAnsi="宋体" w:eastAsia="方正小标宋_GBK" w:cs="宋体"/>
          <w:bCs/>
          <w:kern w:val="0"/>
          <w:sz w:val="44"/>
          <w:szCs w:val="44"/>
          <w:lang w:val="en-US" w:eastAsia="zh-CN"/>
        </w:rPr>
        <w:t>政协</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lang w:val="en-US" w:eastAsia="zh-CN"/>
        </w:rPr>
        <w:t>政协专项经费</w:t>
      </w:r>
      <w:r>
        <w:rPr>
          <w:rFonts w:hint="eastAsia" w:ascii="方正小标宋_GBK" w:hAnsi="宋体" w:eastAsia="方正小标宋_GBK" w:cs="宋体"/>
          <w:bCs/>
          <w:kern w:val="0"/>
          <w:sz w:val="44"/>
          <w:szCs w:val="44"/>
        </w:rPr>
        <w:t>项目支出绩效评价报告</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bookmarkStart w:id="0" w:name="_GoBack"/>
      <w:bookmarkEnd w:id="0"/>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（一）项目概况。</w:t>
      </w:r>
      <w:r>
        <w:rPr>
          <w:rFonts w:hint="eastAsia" w:ascii="仿宋_GB2312" w:eastAsia="仿宋_GB2312"/>
          <w:sz w:val="32"/>
          <w:szCs w:val="32"/>
          <w:lang w:val="en-US" w:eastAsia="zh-CN"/>
        </w:rPr>
        <w:t>为保障政协有关工作正常开展，委员相关办公及材料印刷工作正常进行，设立此项目</w:t>
      </w:r>
      <w:r>
        <w:rPr>
          <w:rFonts w:hint="eastAsia" w:ascii="仿宋_GB2312" w:eastAsia="仿宋_GB2312"/>
          <w:sz w:val="32"/>
          <w:szCs w:val="32"/>
        </w:rPr>
        <w:t>。</w:t>
      </w:r>
    </w:p>
    <w:p>
      <w:pPr>
        <w:spacing w:line="600" w:lineRule="exact"/>
        <w:ind w:firstLine="640" w:firstLineChars="200"/>
        <w:rPr>
          <w:rFonts w:hint="default" w:ascii="仿宋_GB2312" w:eastAsia="仿宋_GB2312"/>
          <w:sz w:val="32"/>
          <w:szCs w:val="32"/>
          <w:lang w:val="en-US" w:eastAsia="zh-CN"/>
        </w:rPr>
      </w:pPr>
      <w:r>
        <w:rPr>
          <w:rFonts w:hint="eastAsia" w:ascii="仿宋_GB2312" w:eastAsia="仿宋_GB2312"/>
          <w:sz w:val="32"/>
          <w:szCs w:val="32"/>
        </w:rPr>
        <w:t>（二）项目绩效目标。</w:t>
      </w:r>
      <w:r>
        <w:rPr>
          <w:rFonts w:hint="eastAsia" w:ascii="仿宋_GB2312" w:eastAsia="仿宋_GB2312"/>
          <w:sz w:val="32"/>
          <w:szCs w:val="32"/>
          <w:lang w:val="en-US" w:eastAsia="zh-CN"/>
        </w:rPr>
        <w:t>政协活动正常进行。</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w:t>
      </w:r>
      <w:r>
        <w:rPr>
          <w:rFonts w:hint="eastAsia" w:ascii="仿宋_GB2312" w:eastAsia="仿宋_GB2312"/>
          <w:sz w:val="32"/>
          <w:szCs w:val="32"/>
          <w:lang w:val="en-US" w:eastAsia="zh-CN"/>
        </w:rPr>
        <w:t>主管财务韩田野副主席</w:t>
      </w:r>
      <w:r>
        <w:rPr>
          <w:rFonts w:hint="eastAsia" w:ascii="仿宋_GB2312" w:eastAsia="仿宋_GB2312"/>
          <w:sz w:val="32"/>
          <w:szCs w:val="32"/>
        </w:rPr>
        <w:t>任组长，由</w:t>
      </w:r>
      <w:r>
        <w:rPr>
          <w:rFonts w:hint="eastAsia" w:ascii="仿宋_GB2312" w:eastAsia="仿宋_GB2312"/>
          <w:sz w:val="32"/>
          <w:szCs w:val="32"/>
          <w:lang w:val="en-US" w:eastAsia="zh-CN"/>
        </w:rPr>
        <w:t>机关秘书长王晓军、办公室主任李建海、社会法制和民族宗教委员会主任时雅梅</w:t>
      </w:r>
      <w:r>
        <w:rPr>
          <w:rFonts w:hint="eastAsia" w:ascii="仿宋_GB2312" w:eastAsia="仿宋_GB2312"/>
          <w:sz w:val="32"/>
          <w:szCs w:val="32"/>
        </w:rPr>
        <w:t>共3人组成部门绩效评价小组，负责绩效评价具体工作。评价小组认真学习绩效评价相关文件以及我</w:t>
      </w:r>
      <w:r>
        <w:rPr>
          <w:rFonts w:hint="eastAsia" w:ascii="仿宋_GB2312" w:eastAsia="仿宋_GB2312"/>
          <w:sz w:val="32"/>
          <w:szCs w:val="32"/>
          <w:lang w:val="en-US" w:eastAsia="zh-CN"/>
        </w:rPr>
        <w:t>单位</w:t>
      </w:r>
      <w:r>
        <w:rPr>
          <w:rFonts w:hint="eastAsia" w:ascii="仿宋_GB2312" w:eastAsia="仿宋_GB2312"/>
          <w:sz w:val="32"/>
          <w:szCs w:val="32"/>
        </w:rPr>
        <w:t>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hint="eastAsia" w:eastAsia="黑体"/>
          <w:sz w:val="32"/>
          <w:szCs w:val="32"/>
        </w:rPr>
      </w:pPr>
      <w:r>
        <w:rPr>
          <w:rFonts w:hint="eastAsia" w:eastAsia="黑体"/>
          <w:sz w:val="32"/>
          <w:szCs w:val="32"/>
        </w:rPr>
        <w:t>三、综合评价情况及评价结论</w:t>
      </w:r>
    </w:p>
    <w:p>
      <w:pPr>
        <w:spacing w:line="600" w:lineRule="exact"/>
        <w:ind w:firstLine="640" w:firstLineChars="200"/>
        <w:rPr>
          <w:rFonts w:hint="eastAsia" w:eastAsia="黑体"/>
          <w:sz w:val="32"/>
          <w:szCs w:val="32"/>
        </w:rPr>
      </w:pPr>
      <w:r>
        <w:rPr>
          <w:rFonts w:hint="eastAsia" w:ascii="仿宋_GB2312" w:eastAsia="仿宋_GB2312"/>
          <w:sz w:val="32"/>
          <w:szCs w:val="32"/>
          <w:lang w:val="en-US" w:eastAsia="zh-CN"/>
        </w:rPr>
        <w:t>委员报刊费项目</w:t>
      </w:r>
      <w:r>
        <w:rPr>
          <w:rFonts w:hint="eastAsia" w:ascii="仿宋_GB2312" w:eastAsia="仿宋_GB2312"/>
          <w:sz w:val="32"/>
          <w:szCs w:val="32"/>
        </w:rPr>
        <w:t>立项依据充分,目标合理，方案可行，资金测算科学</w:t>
      </w:r>
      <w:r>
        <w:rPr>
          <w:rFonts w:hint="eastAsia" w:ascii="仿宋_GB2312" w:eastAsia="仿宋_GB2312"/>
          <w:sz w:val="32"/>
          <w:szCs w:val="32"/>
          <w:lang w:eastAsia="zh-CN"/>
        </w:rPr>
        <w:t>，</w:t>
      </w:r>
      <w:r>
        <w:rPr>
          <w:rFonts w:hint="eastAsia" w:ascii="仿宋_GB2312" w:eastAsia="仿宋_GB2312"/>
          <w:sz w:val="32"/>
          <w:szCs w:val="32"/>
          <w:lang w:val="en-US" w:eastAsia="zh-CN"/>
        </w:rPr>
        <w:t>支出符合财政各项规定。</w:t>
      </w:r>
    </w:p>
    <w:p>
      <w:pPr>
        <w:spacing w:line="600" w:lineRule="exact"/>
        <w:ind w:firstLine="640" w:firstLineChars="200"/>
        <w:rPr>
          <w:rFonts w:eastAsia="黑体"/>
          <w:sz w:val="32"/>
          <w:szCs w:val="32"/>
        </w:rPr>
      </w:pPr>
      <w:r>
        <w:rPr>
          <w:rFonts w:hint="eastAsia" w:eastAsia="黑体"/>
          <w:sz w:val="32"/>
          <w:szCs w:val="32"/>
        </w:rPr>
        <w:t>四、绩效评价指标分析</w:t>
      </w:r>
    </w:p>
    <w:p>
      <w:pPr>
        <w:adjustRightInd w:val="0"/>
        <w:snapToGrid w:val="0"/>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（一）项目决策情况。</w:t>
      </w:r>
      <w:r>
        <w:rPr>
          <w:rFonts w:hint="eastAsia" w:ascii="仿宋_GB2312" w:eastAsia="仿宋_GB2312"/>
          <w:sz w:val="32"/>
          <w:szCs w:val="32"/>
          <w:lang w:val="en-US" w:eastAsia="zh-CN"/>
        </w:rPr>
        <w:t>项目全年所需资金60000元，</w:t>
      </w:r>
      <w:r>
        <w:rPr>
          <w:rFonts w:hint="eastAsia" w:ascii="仿宋_GB2312" w:eastAsia="仿宋_GB2312"/>
          <w:sz w:val="32"/>
          <w:szCs w:val="32"/>
        </w:rPr>
        <w:t>全部为县级财政安排，</w:t>
      </w:r>
      <w:r>
        <w:rPr>
          <w:rFonts w:ascii="仿宋_GB2312" w:eastAsia="仿宋_GB2312"/>
          <w:sz w:val="32"/>
          <w:szCs w:val="32"/>
        </w:rPr>
        <w:t>资金来源渠道明确、合法合规，符合财政事权与支出责任相适应的原则</w:t>
      </w:r>
      <w:r>
        <w:rPr>
          <w:rFonts w:hint="eastAsia" w:ascii="仿宋_GB2312" w:eastAsia="仿宋_GB2312"/>
          <w:sz w:val="32"/>
          <w:szCs w:val="32"/>
        </w:rPr>
        <w:t>。</w:t>
      </w:r>
    </w:p>
    <w:p>
      <w:pPr>
        <w:spacing w:line="600" w:lineRule="exact"/>
        <w:ind w:firstLine="640" w:firstLineChars="200"/>
        <w:outlineLvl w:val="0"/>
        <w:rPr>
          <w:rFonts w:hint="eastAsia" w:ascii="仿宋_GB2312" w:eastAsia="仿宋_GB2312"/>
          <w:sz w:val="32"/>
          <w:szCs w:val="32"/>
          <w:lang w:val="en-US" w:eastAsia="zh-CN"/>
        </w:rPr>
      </w:pPr>
      <w:r>
        <w:rPr>
          <w:rFonts w:hint="eastAsia" w:ascii="仿宋_GB2312" w:eastAsia="仿宋_GB2312"/>
          <w:sz w:val="32"/>
          <w:szCs w:val="32"/>
        </w:rPr>
        <w:t>（二）项目过程情况。</w:t>
      </w:r>
      <w:r>
        <w:rPr>
          <w:rFonts w:hint="eastAsia" w:ascii="仿宋_GB2312" w:eastAsia="仿宋_GB2312"/>
          <w:sz w:val="32"/>
          <w:szCs w:val="32"/>
          <w:lang w:val="en-US" w:eastAsia="zh-CN"/>
        </w:rPr>
        <w:t>资金全部到位，财务管理和资金使用合规，管理制度健全。</w:t>
      </w:r>
    </w:p>
    <w:p>
      <w:pPr>
        <w:spacing w:line="600" w:lineRule="exact"/>
        <w:ind w:firstLine="640" w:firstLineChars="200"/>
        <w:outlineLvl w:val="0"/>
        <w:rPr>
          <w:rFonts w:hint="eastAsia" w:ascii="仿宋_GB2312" w:eastAsia="仿宋_GB2312"/>
          <w:sz w:val="32"/>
          <w:szCs w:val="32"/>
          <w:lang w:val="en-US" w:eastAsia="zh-CN"/>
        </w:rPr>
      </w:pPr>
      <w:r>
        <w:rPr>
          <w:rFonts w:hint="eastAsia" w:ascii="仿宋_GB2312" w:eastAsia="仿宋_GB2312"/>
          <w:sz w:val="32"/>
          <w:szCs w:val="32"/>
        </w:rPr>
        <w:t>（三）项目产出情况。</w:t>
      </w:r>
      <w:r>
        <w:rPr>
          <w:rFonts w:hint="eastAsia" w:ascii="仿宋_GB2312" w:eastAsia="仿宋_GB2312"/>
          <w:sz w:val="32"/>
          <w:szCs w:val="32"/>
          <w:lang w:val="en-US" w:eastAsia="zh-CN"/>
        </w:rPr>
        <w:t>保障了政协机关正常运行和委员工作的正常开展，但受疫情影响部分工作未开展。</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rPr>
        <w:t>（四）项目效益情况。</w:t>
      </w:r>
      <w:r>
        <w:rPr>
          <w:rFonts w:hint="eastAsia" w:ascii="仿宋_GB2312" w:eastAsia="仿宋_GB2312"/>
          <w:sz w:val="32"/>
          <w:szCs w:val="32"/>
          <w:lang w:val="en-US" w:eastAsia="zh-CN"/>
        </w:rPr>
        <w:t>为全县经济社会发展做出了贡献，全体委员和政协工作人员对项目效益表示满意。</w:t>
      </w:r>
    </w:p>
    <w:p>
      <w:pPr>
        <w:spacing w:line="600" w:lineRule="exact"/>
        <w:ind w:firstLine="640" w:firstLineChars="200"/>
        <w:rPr>
          <w:rFonts w:hint="eastAsia" w:eastAsia="黑体"/>
          <w:sz w:val="32"/>
          <w:szCs w:val="32"/>
        </w:rPr>
      </w:pPr>
      <w:r>
        <w:rPr>
          <w:rFonts w:hint="eastAsia" w:eastAsia="黑体"/>
          <w:sz w:val="32"/>
          <w:szCs w:val="32"/>
        </w:rPr>
        <w:t>五、主要经验及做法、存在的问题及原因分析</w:t>
      </w:r>
    </w:p>
    <w:p>
      <w:pPr>
        <w:spacing w:line="600" w:lineRule="exact"/>
        <w:ind w:firstLine="640" w:firstLineChars="200"/>
        <w:rPr>
          <w:rFonts w:hint="eastAsia" w:eastAsia="黑体"/>
          <w:sz w:val="32"/>
          <w:szCs w:val="32"/>
        </w:rPr>
      </w:pPr>
      <w:r>
        <w:rPr>
          <w:rFonts w:hint="eastAsia" w:ascii="仿宋_GB2312" w:hAnsi="仿宋_GB2312" w:eastAsia="仿宋_GB2312" w:cs="仿宋_GB2312"/>
          <w:i w:val="0"/>
          <w:caps w:val="0"/>
          <w:color w:val="333333"/>
          <w:spacing w:val="0"/>
          <w:sz w:val="32"/>
          <w:szCs w:val="32"/>
          <w:shd w:val="clear" w:color="auto" w:fill="FFFFFF"/>
          <w:lang w:val="en-US" w:eastAsia="zh-CN"/>
        </w:rPr>
        <w:t>加快建立健全财政预算绩效管理相关制度和工作机制，稳步推进预算绩效管理工作，进一步优化公共资源配置，提高公共服务质量，增强预算支出主体责任。</w:t>
      </w:r>
    </w:p>
    <w:p>
      <w:pPr>
        <w:spacing w:line="600" w:lineRule="exact"/>
        <w:ind w:firstLine="640" w:firstLineChars="200"/>
        <w:rPr>
          <w:rFonts w:hint="eastAsia" w:eastAsia="黑体"/>
          <w:sz w:val="32"/>
          <w:szCs w:val="32"/>
        </w:rPr>
      </w:pPr>
      <w:r>
        <w:rPr>
          <w:rFonts w:hint="eastAsia" w:eastAsia="黑体"/>
          <w:sz w:val="32"/>
          <w:szCs w:val="32"/>
        </w:rPr>
        <w:t>六、有关建议</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加强预算绩效监督管理工作，建立确实可行的内部控制制度，为预算绩效管理开展提供相应的指导和监督，及时整改发现的问题，确保预算绩效管理工作顺利进行</w:t>
      </w:r>
    </w:p>
    <w:p>
      <w:pPr>
        <w:numPr>
          <w:ilvl w:val="0"/>
          <w:numId w:val="1"/>
        </w:numPr>
        <w:spacing w:line="600" w:lineRule="exact"/>
        <w:ind w:firstLine="640" w:firstLineChars="200"/>
        <w:rPr>
          <w:rFonts w:hint="eastAsia" w:eastAsia="黑体"/>
          <w:sz w:val="32"/>
          <w:szCs w:val="32"/>
        </w:rPr>
      </w:pPr>
      <w:r>
        <w:rPr>
          <w:rFonts w:hint="eastAsia" w:eastAsia="黑体"/>
          <w:sz w:val="32"/>
          <w:szCs w:val="32"/>
        </w:rPr>
        <w:t>其他需要说明的问题</w:t>
      </w:r>
    </w:p>
    <w:p>
      <w:pPr>
        <w:numPr>
          <w:ilvl w:val="0"/>
          <w:numId w:val="0"/>
        </w:numPr>
        <w:spacing w:line="600" w:lineRule="exact"/>
        <w:rPr>
          <w:rFonts w:hint="default" w:eastAsia="黑体"/>
          <w:sz w:val="32"/>
          <w:szCs w:val="32"/>
          <w:lang w:val="en-US" w:eastAsia="zh-CN"/>
        </w:rPr>
      </w:pPr>
      <w:r>
        <w:rPr>
          <w:rFonts w:hint="eastAsia" w:eastAsia="黑体"/>
          <w:sz w:val="32"/>
          <w:szCs w:val="32"/>
          <w:lang w:val="en-US" w:eastAsia="zh-CN"/>
        </w:rPr>
        <w:t xml:space="preserve">     无</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3680C9C"/>
    <w:multiLevelType w:val="singleLevel"/>
    <w:tmpl w:val="93680C9C"/>
    <w:lvl w:ilvl="0" w:tentative="0">
      <w:start w:val="7"/>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2339"/>
    <w:rsid w:val="006D698D"/>
    <w:rsid w:val="007B014A"/>
    <w:rsid w:val="008D0681"/>
    <w:rsid w:val="00D72339"/>
    <w:rsid w:val="0DD10ADC"/>
    <w:rsid w:val="0FD13331"/>
    <w:rsid w:val="2FDD409E"/>
    <w:rsid w:val="4595474B"/>
    <w:rsid w:val="49D67DF9"/>
    <w:rsid w:val="51D879E2"/>
    <w:rsid w:val="63AF0C61"/>
    <w:rsid w:val="6D162A7F"/>
    <w:rsid w:val="72B81AE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uiPriority w:val="99"/>
    <w:rPr>
      <w:sz w:val="18"/>
      <w:szCs w:val="18"/>
    </w:rPr>
  </w:style>
  <w:style w:type="character" w:customStyle="1" w:styleId="7">
    <w:name w:val="页脚 Char"/>
    <w:basedOn w:val="5"/>
    <w:link w:val="2"/>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40</Words>
  <Characters>228</Characters>
  <Lines>1</Lines>
  <Paragraphs>1</Paragraphs>
  <TotalTime>5</TotalTime>
  <ScaleCrop>false</ScaleCrop>
  <LinksUpToDate>false</LinksUpToDate>
  <CharactersWithSpaces>267</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Administrator</cp:lastModifiedBy>
  <cp:lastPrinted>2024-04-23T06:03:54Z</cp:lastPrinted>
  <dcterms:modified xsi:type="dcterms:W3CDTF">2024-04-23T06:03:56Z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