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县政协十一届三次会议费用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80"/>
          <w:position w:val="0"/>
          <w:sz w:val="36"/>
          <w:szCs w:val="36"/>
          <w:u w:val="single"/>
          <w:lang w:val="en-US" w:eastAsia="zh-CN"/>
        </w:rPr>
        <w:t xml:space="preserve"> 中国人民政治协商会议玉田县委员会</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王晓军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40"/>
          <w:szCs w:val="40"/>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0315-6113293                              </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600" w:lineRule="exact"/>
        <w:ind w:firstLine="600" w:firstLineChars="200"/>
        <w:rPr>
          <w:rFonts w:hint="eastAsia" w:ascii="仿宋" w:hAnsi="仿宋" w:eastAsia="仿宋" w:cs="仿宋"/>
          <w:lang w:eastAsia="zh-CN"/>
        </w:rPr>
      </w:pPr>
      <w:r>
        <w:rPr>
          <w:rFonts w:hint="eastAsia" w:ascii="仿宋" w:hAnsi="仿宋" w:eastAsia="仿宋" w:cs="仿宋"/>
          <w:lang w:val="en-US" w:eastAsia="zh-CN"/>
        </w:rPr>
        <w:t>政治协商，民主监督，参政议政。</w:t>
      </w:r>
    </w:p>
    <w:p>
      <w:pPr>
        <w:spacing w:line="600" w:lineRule="exact"/>
        <w:ind w:firstLine="602" w:firstLineChars="200"/>
        <w:rPr>
          <w:rFonts w:hint="eastAsia" w:ascii="仿宋" w:hAnsi="仿宋" w:eastAsia="仿宋" w:cs="仿宋"/>
          <w:b/>
          <w:bCs/>
        </w:rPr>
      </w:pPr>
      <w:bookmarkStart w:id="21" w:name="_Toc31309_WPSOffice_Level1"/>
      <w:r>
        <w:rPr>
          <w:rFonts w:hint="eastAsia" w:ascii="仿宋" w:hAnsi="仿宋" w:eastAsia="仿宋" w:cs="仿宋"/>
          <w:b/>
          <w:bCs/>
          <w:lang w:eastAsia="zh-CN"/>
        </w:rPr>
        <w:t>二</w:t>
      </w:r>
      <w:r>
        <w:rPr>
          <w:rFonts w:hint="eastAsia" w:ascii="仿宋" w:hAnsi="仿宋" w:eastAsia="仿宋" w:cs="仿宋"/>
          <w:b/>
          <w:bCs/>
        </w:rPr>
        <w:t>、绩效评价工作开展情况</w:t>
      </w:r>
      <w:bookmarkEnd w:id="21"/>
    </w:p>
    <w:p>
      <w:pPr>
        <w:spacing w:line="54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val="en-US" w:eastAsia="zh-CN"/>
        </w:rPr>
        <w:t>县政协十一届一次会议费用</w:t>
      </w:r>
      <w:r>
        <w:rPr>
          <w:rFonts w:hint="eastAsia" w:ascii="仿宋" w:hAnsi="仿宋" w:eastAsia="仿宋" w:cs="仿宋"/>
          <w:color w:val="000000"/>
          <w:kern w:val="0"/>
          <w:sz w:val="32"/>
          <w:szCs w:val="32"/>
        </w:rPr>
        <w:t>。</w:t>
      </w:r>
    </w:p>
    <w:p>
      <w:pPr>
        <w:spacing w:line="540" w:lineRule="exact"/>
        <w:rPr>
          <w:rFonts w:hint="eastAsia" w:ascii="仿宋" w:hAnsi="仿宋" w:eastAsia="仿宋" w:cs="仿宋"/>
          <w:sz w:val="32"/>
          <w:szCs w:val="32"/>
        </w:rPr>
      </w:pPr>
      <w:r>
        <w:rPr>
          <w:rFonts w:hint="eastAsia" w:ascii="仿宋" w:hAnsi="仿宋" w:eastAsia="仿宋" w:cs="仿宋"/>
          <w:sz w:val="32"/>
          <w:szCs w:val="32"/>
        </w:rPr>
        <w:t xml:space="preserve">   </w:t>
      </w:r>
      <w:bookmarkStart w:id="22" w:name="_Toc4762_WPSOffice_Level2"/>
      <w:r>
        <w:rPr>
          <w:rFonts w:hint="eastAsia" w:ascii="仿宋" w:hAnsi="仿宋" w:eastAsia="仿宋" w:cs="仿宋"/>
          <w:sz w:val="32"/>
          <w:szCs w:val="32"/>
        </w:rPr>
        <w:t>（一）绩效评价目的与原则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政治协商</w:t>
      </w:r>
      <w:r>
        <w:rPr>
          <w:rFonts w:hint="eastAsia" w:ascii="仿宋" w:hAnsi="仿宋" w:eastAsia="仿宋" w:cs="仿宋"/>
        </w:rPr>
        <w:t>和</w:t>
      </w:r>
      <w:r>
        <w:rPr>
          <w:rFonts w:hint="eastAsia" w:ascii="仿宋" w:hAnsi="仿宋" w:eastAsia="仿宋" w:cs="仿宋"/>
          <w:lang w:val="en-US" w:eastAsia="zh-CN"/>
        </w:rPr>
        <w:t>参政议政</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rPr>
      </w:pPr>
      <w:bookmarkStart w:id="26" w:name="_Toc22655_WPSOffice_Level1"/>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00" w:firstLineChars="200"/>
        <w:outlineLvl w:val="0"/>
        <w:rPr>
          <w:rFonts w:hint="default" w:ascii="仿宋" w:hAnsi="仿宋" w:eastAsia="仿宋" w:cs="仿宋"/>
          <w:lang w:val="en-US" w:eastAsia="zh-CN"/>
        </w:rPr>
      </w:pPr>
      <w:r>
        <w:rPr>
          <w:rFonts w:hint="eastAsia" w:ascii="仿宋" w:hAnsi="仿宋" w:eastAsia="仿宋" w:cs="仿宋"/>
          <w:lang w:val="en-US" w:eastAsia="zh-CN"/>
        </w:rPr>
        <w:t>十一届县政协换届，需召开全体会议。</w:t>
      </w:r>
    </w:p>
    <w:p>
      <w:pPr>
        <w:numPr>
          <w:ilvl w:val="0"/>
          <w:numId w:val="2"/>
        </w:numPr>
        <w:spacing w:line="600" w:lineRule="exact"/>
        <w:ind w:firstLine="600" w:firstLineChars="200"/>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项目总体绩效目标</w:t>
      </w:r>
      <w:bookmarkEnd w:id="28"/>
    </w:p>
    <w:p>
      <w:pPr>
        <w:numPr>
          <w:ilvl w:val="0"/>
          <w:numId w:val="0"/>
        </w:numPr>
        <w:spacing w:line="600" w:lineRule="exact"/>
        <w:outlineLvl w:val="0"/>
        <w:rPr>
          <w:rFonts w:hint="default" w:ascii="仿宋" w:hAnsi="仿宋" w:eastAsia="仿宋" w:cs="仿宋"/>
          <w:lang w:val="en-US" w:eastAsia="zh-CN"/>
        </w:rPr>
      </w:pPr>
      <w:r>
        <w:rPr>
          <w:rFonts w:hint="eastAsia" w:ascii="仿宋" w:hAnsi="仿宋" w:eastAsia="仿宋" w:cs="仿宋"/>
          <w:lang w:val="en-US" w:eastAsia="zh-CN"/>
        </w:rPr>
        <w:t xml:space="preserve">     完成换届工作，协商圆满开展，委员满意。</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tbl>
      <w:tblPr>
        <w:tblStyle w:val="4"/>
        <w:tblW w:w="941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shd w:val="clear" w:color="auto" w:fill="auto"/>
            <w:noWrap w:val="0"/>
            <w:vAlign w:val="center"/>
          </w:tcPr>
          <w:p>
            <w:pPr>
              <w:spacing w:line="300" w:lineRule="exact"/>
              <w:jc w:val="center"/>
              <w:rPr>
                <w:rFonts w:ascii="方正书宋_GBK" w:hAnsi="Calibri" w:eastAsia="方正书宋_GBK"/>
                <w:b/>
                <w:sz w:val="21"/>
                <w:szCs w:val="22"/>
              </w:rPr>
            </w:pPr>
            <w:r>
              <w:rPr>
                <w:rFonts w:hint="eastAsia" w:ascii="方正书宋_GBK" w:hAnsi="Calibri" w:eastAsia="方正书宋_GBK"/>
                <w:b/>
                <w:sz w:val="21"/>
                <w:szCs w:val="22"/>
              </w:rPr>
              <w:t>一级指标</w:t>
            </w:r>
          </w:p>
        </w:tc>
        <w:tc>
          <w:tcPr>
            <w:tcW w:w="1134" w:type="dxa"/>
            <w:shd w:val="clear" w:color="auto" w:fill="auto"/>
            <w:noWrap w:val="0"/>
            <w:vAlign w:val="center"/>
          </w:tcPr>
          <w:p>
            <w:pPr>
              <w:spacing w:line="300" w:lineRule="exact"/>
              <w:jc w:val="center"/>
              <w:rPr>
                <w:rFonts w:ascii="方正书宋_GBK" w:hAnsi="Calibri" w:eastAsia="方正书宋_GBK"/>
                <w:b/>
                <w:sz w:val="21"/>
                <w:szCs w:val="22"/>
              </w:rPr>
            </w:pPr>
            <w:r>
              <w:rPr>
                <w:rFonts w:hint="eastAsia" w:ascii="方正书宋_GBK" w:hAnsi="Calibri" w:eastAsia="方正书宋_GBK"/>
                <w:b/>
                <w:sz w:val="21"/>
                <w:szCs w:val="22"/>
              </w:rPr>
              <w:t>二级指标</w:t>
            </w:r>
          </w:p>
        </w:tc>
        <w:tc>
          <w:tcPr>
            <w:tcW w:w="1276" w:type="dxa"/>
            <w:shd w:val="clear" w:color="auto" w:fill="auto"/>
            <w:noWrap w:val="0"/>
            <w:vAlign w:val="center"/>
          </w:tcPr>
          <w:p>
            <w:pPr>
              <w:spacing w:line="300" w:lineRule="exact"/>
              <w:jc w:val="center"/>
              <w:rPr>
                <w:rFonts w:ascii="方正书宋_GBK" w:hAnsi="Calibri" w:eastAsia="方正书宋_GBK"/>
                <w:b/>
                <w:sz w:val="21"/>
                <w:szCs w:val="22"/>
              </w:rPr>
            </w:pPr>
            <w:r>
              <w:rPr>
                <w:rFonts w:hint="eastAsia" w:ascii="方正书宋_GBK" w:hAnsi="Calibri" w:eastAsia="方正书宋_GBK"/>
                <w:b/>
                <w:sz w:val="21"/>
                <w:szCs w:val="22"/>
              </w:rPr>
              <w:t>三级指标</w:t>
            </w:r>
          </w:p>
        </w:tc>
        <w:tc>
          <w:tcPr>
            <w:tcW w:w="2891" w:type="dxa"/>
            <w:shd w:val="clear" w:color="auto" w:fill="auto"/>
            <w:noWrap w:val="0"/>
            <w:vAlign w:val="center"/>
          </w:tcPr>
          <w:p>
            <w:pPr>
              <w:spacing w:line="300" w:lineRule="exact"/>
              <w:jc w:val="center"/>
              <w:rPr>
                <w:rFonts w:ascii="方正书宋_GBK" w:hAnsi="Calibri" w:eastAsia="方正书宋_GBK"/>
                <w:b/>
                <w:sz w:val="21"/>
                <w:szCs w:val="22"/>
              </w:rPr>
            </w:pPr>
            <w:r>
              <w:rPr>
                <w:rFonts w:hint="eastAsia" w:ascii="方正书宋_GBK" w:hAnsi="Calibri" w:eastAsia="方正书宋_GBK"/>
                <w:b/>
                <w:sz w:val="21"/>
                <w:szCs w:val="22"/>
              </w:rPr>
              <w:t>绩效指标描述</w:t>
            </w:r>
          </w:p>
        </w:tc>
        <w:tc>
          <w:tcPr>
            <w:tcW w:w="1276" w:type="dxa"/>
            <w:shd w:val="clear" w:color="auto" w:fill="auto"/>
            <w:noWrap w:val="0"/>
            <w:vAlign w:val="center"/>
          </w:tcPr>
          <w:p>
            <w:pPr>
              <w:spacing w:line="300" w:lineRule="exact"/>
              <w:jc w:val="center"/>
              <w:rPr>
                <w:rFonts w:ascii="方正书宋_GBK" w:hAnsi="Calibri" w:eastAsia="方正书宋_GBK"/>
                <w:b/>
                <w:sz w:val="21"/>
                <w:szCs w:val="22"/>
              </w:rPr>
            </w:pPr>
            <w:r>
              <w:rPr>
                <w:rFonts w:hint="eastAsia" w:ascii="方正书宋_GBK" w:hAnsi="Calibri" w:eastAsia="方正书宋_GBK"/>
                <w:b/>
                <w:sz w:val="21"/>
                <w:szCs w:val="22"/>
              </w:rPr>
              <w:t>指标值</w:t>
            </w:r>
          </w:p>
        </w:tc>
        <w:tc>
          <w:tcPr>
            <w:tcW w:w="1701" w:type="dxa"/>
            <w:shd w:val="clear" w:color="auto" w:fill="auto"/>
            <w:noWrap w:val="0"/>
            <w:vAlign w:val="center"/>
          </w:tcPr>
          <w:p>
            <w:pPr>
              <w:spacing w:line="300" w:lineRule="exact"/>
              <w:jc w:val="center"/>
              <w:rPr>
                <w:rFonts w:ascii="方正书宋_GBK" w:hAnsi="Calibri" w:eastAsia="方正书宋_GBK"/>
                <w:b/>
                <w:sz w:val="21"/>
                <w:szCs w:val="22"/>
              </w:rPr>
            </w:pPr>
            <w:r>
              <w:rPr>
                <w:rFonts w:hint="eastAsia" w:ascii="方正书宋_GBK" w:hAnsi="Calibri" w:eastAsia="方正书宋_GBK"/>
                <w:b/>
                <w:sz w:val="21"/>
                <w:szCs w:val="22"/>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ascii="方正书宋_GBK" w:hAnsi="Calibri" w:eastAsia="方正书宋_GBK"/>
                <w:sz w:val="21"/>
                <w:szCs w:val="22"/>
              </w:rPr>
            </w:pPr>
            <w:r>
              <w:rPr>
                <w:rFonts w:hint="eastAsia" w:ascii="方正书宋_GBK" w:hAnsi="Calibri" w:eastAsia="方正书宋_GBK"/>
                <w:sz w:val="21"/>
                <w:szCs w:val="22"/>
              </w:rPr>
              <w:t>产出指标</w:t>
            </w:r>
          </w:p>
        </w:tc>
        <w:tc>
          <w:tcPr>
            <w:tcW w:w="1134" w:type="dxa"/>
            <w:shd w:val="clear" w:color="auto" w:fill="auto"/>
            <w:noWrap w:val="0"/>
            <w:vAlign w:val="center"/>
          </w:tcPr>
          <w:p>
            <w:pPr>
              <w:pStyle w:val="13"/>
              <w:ind w:firstLine="0" w:firstLineChars="0"/>
              <w:rPr>
                <w:rFonts w:ascii="方正书宋_GBK" w:hAnsi="Calibri" w:eastAsia="方正书宋_GBK"/>
                <w:sz w:val="21"/>
                <w:szCs w:val="22"/>
              </w:rPr>
            </w:pPr>
            <w:r>
              <w:t>数量指标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参会委员数量</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实际参会委员数量</w:t>
            </w:r>
          </w:p>
        </w:tc>
        <w:tc>
          <w:tcPr>
            <w:tcW w:w="1276" w:type="dxa"/>
            <w:shd w:val="clear" w:color="auto" w:fill="auto"/>
            <w:noWrap w:val="0"/>
            <w:vAlign w:val="center"/>
          </w:tcPr>
          <w:p>
            <w:pPr>
              <w:pStyle w:val="13"/>
              <w:ind w:firstLine="0" w:firstLineChars="0"/>
              <w:rPr>
                <w:rFonts w:ascii="方正书宋_GBK" w:hAnsi="Calibri" w:eastAsia="方正书宋_GBK"/>
                <w:sz w:val="21"/>
                <w:szCs w:val="22"/>
              </w:rPr>
            </w:pPr>
            <w:r>
              <w:t>240人</w:t>
            </w:r>
          </w:p>
        </w:tc>
        <w:tc>
          <w:tcPr>
            <w:tcW w:w="1701" w:type="dxa"/>
            <w:shd w:val="clear" w:color="auto" w:fill="auto"/>
            <w:noWrap w:val="0"/>
            <w:vAlign w:val="center"/>
          </w:tcPr>
          <w:p>
            <w:pPr>
              <w:spacing w:line="300" w:lineRule="exact"/>
              <w:jc w:val="left"/>
              <w:rPr>
                <w:rFonts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hint="eastAsia" w:ascii="方正书宋_GBK" w:hAnsi="Calibri" w:eastAsia="方正书宋_GBK"/>
                <w:sz w:val="21"/>
                <w:szCs w:val="22"/>
              </w:rPr>
            </w:pPr>
          </w:p>
        </w:tc>
        <w:tc>
          <w:tcPr>
            <w:tcW w:w="1134" w:type="dxa"/>
            <w:shd w:val="clear" w:color="auto" w:fill="auto"/>
            <w:noWrap w:val="0"/>
            <w:vAlign w:val="center"/>
          </w:tcPr>
          <w:p>
            <w:pPr>
              <w:pStyle w:val="13"/>
              <w:ind w:firstLine="0" w:firstLineChars="0"/>
              <w:rPr>
                <w:rFonts w:hint="eastAsia" w:ascii="方正书宋_GBK" w:hAnsi="Calibri" w:eastAsia="方正书宋_GBK"/>
                <w:sz w:val="21"/>
                <w:szCs w:val="22"/>
              </w:rPr>
            </w:pPr>
            <w:r>
              <w:t>质量指标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会议完成质量</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各项议程活动顺利完成</w:t>
            </w:r>
          </w:p>
        </w:tc>
        <w:tc>
          <w:tcPr>
            <w:tcW w:w="1276" w:type="dxa"/>
            <w:shd w:val="clear" w:color="auto" w:fill="auto"/>
            <w:noWrap w:val="0"/>
            <w:vAlign w:val="center"/>
          </w:tcPr>
          <w:p>
            <w:pPr>
              <w:pStyle w:val="13"/>
              <w:ind w:firstLine="0" w:firstLineChars="0"/>
              <w:rPr>
                <w:rFonts w:hint="eastAsia" w:ascii="方正书宋_GBK" w:hAnsi="Calibri" w:eastAsia="方正书宋_GBK"/>
                <w:sz w:val="21"/>
                <w:szCs w:val="22"/>
              </w:rPr>
            </w:pPr>
            <w:r>
              <w:t>≥90会议完成率百分比</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hint="eastAsia" w:ascii="方正书宋_GBK" w:hAnsi="Calibri" w:eastAsia="方正书宋_GBK"/>
                <w:sz w:val="21"/>
                <w:szCs w:val="22"/>
              </w:rPr>
            </w:pPr>
          </w:p>
        </w:tc>
        <w:tc>
          <w:tcPr>
            <w:tcW w:w="1134" w:type="dxa"/>
            <w:shd w:val="clear" w:color="auto" w:fill="auto"/>
            <w:noWrap w:val="0"/>
            <w:vAlign w:val="center"/>
          </w:tcPr>
          <w:p>
            <w:pPr>
              <w:pStyle w:val="13"/>
              <w:ind w:firstLine="0" w:firstLineChars="0"/>
              <w:rPr>
                <w:rFonts w:hint="eastAsia" w:ascii="方正书宋_GBK" w:hAnsi="Calibri" w:eastAsia="方正书宋_GBK" w:cs="Times New Roman"/>
                <w:kern w:val="2"/>
                <w:sz w:val="21"/>
                <w:szCs w:val="22"/>
                <w:lang w:val="en-US" w:eastAsia="zh-CN" w:bidi="ar-SA"/>
              </w:rPr>
            </w:pPr>
            <w:r>
              <w:t>时效指标</w:t>
            </w:r>
          </w:p>
        </w:tc>
        <w:tc>
          <w:tcPr>
            <w:tcW w:w="1276" w:type="dxa"/>
            <w:shd w:val="clear" w:color="auto" w:fill="auto"/>
            <w:noWrap w:val="0"/>
            <w:vAlign w:val="center"/>
          </w:tcPr>
          <w:p>
            <w:pPr>
              <w:pStyle w:val="13"/>
              <w:ind w:firstLine="0" w:firstLineChars="0"/>
              <w:rPr>
                <w:rFonts w:hint="eastAsia" w:ascii="方正书宋_GBK" w:hAnsi="Calibri" w:eastAsia="方正书宋_GBK" w:cs="Times New Roman"/>
                <w:kern w:val="2"/>
                <w:sz w:val="21"/>
                <w:szCs w:val="22"/>
                <w:lang w:val="en-US" w:eastAsia="zh-CN" w:bidi="ar-SA"/>
              </w:rPr>
            </w:pPr>
            <w:r>
              <w:t>县政协十一届三次会议召开及时率</w:t>
            </w:r>
          </w:p>
        </w:tc>
        <w:tc>
          <w:tcPr>
            <w:tcW w:w="2891" w:type="dxa"/>
            <w:shd w:val="clear" w:color="auto" w:fill="auto"/>
            <w:noWrap w:val="0"/>
            <w:vAlign w:val="center"/>
          </w:tcPr>
          <w:p>
            <w:pPr>
              <w:pStyle w:val="13"/>
              <w:ind w:firstLine="0" w:firstLineChars="0"/>
              <w:rPr>
                <w:rFonts w:hint="eastAsia" w:ascii="方正书宋_GBK" w:hAnsi="Calibri" w:eastAsia="方正书宋_GBK" w:cs="Times New Roman"/>
                <w:kern w:val="2"/>
                <w:sz w:val="21"/>
                <w:szCs w:val="22"/>
                <w:lang w:val="en-US" w:eastAsia="zh-CN" w:bidi="ar-SA"/>
              </w:rPr>
            </w:pPr>
            <w:r>
              <w:t>县政协十一届三次会议召开及时率</w:t>
            </w:r>
          </w:p>
        </w:tc>
        <w:tc>
          <w:tcPr>
            <w:tcW w:w="1276" w:type="dxa"/>
            <w:shd w:val="clear" w:color="auto" w:fill="auto"/>
            <w:noWrap w:val="0"/>
            <w:vAlign w:val="center"/>
          </w:tcPr>
          <w:p>
            <w:pPr>
              <w:pStyle w:val="13"/>
              <w:ind w:firstLine="0" w:firstLineChars="0"/>
              <w:rPr>
                <w:rFonts w:hint="eastAsia" w:ascii="方正书宋_GBK" w:hAnsi="Calibri" w:eastAsia="方正书宋_GBK" w:cs="Times New Roman"/>
                <w:kern w:val="2"/>
                <w:sz w:val="21"/>
                <w:szCs w:val="22"/>
                <w:lang w:val="en-US" w:eastAsia="zh-CN" w:bidi="ar-SA"/>
              </w:rPr>
            </w:pPr>
            <w:r>
              <w:t>会议如期召开</w:t>
            </w:r>
          </w:p>
        </w:tc>
        <w:tc>
          <w:tcPr>
            <w:tcW w:w="1701" w:type="dxa"/>
            <w:shd w:val="clear" w:color="auto" w:fill="auto"/>
            <w:noWrap w:val="0"/>
            <w:vAlign w:val="center"/>
          </w:tcPr>
          <w:p>
            <w:pPr>
              <w:spacing w:line="300" w:lineRule="exact"/>
              <w:jc w:val="left"/>
              <w:rPr>
                <w:rFonts w:hint="eastAsia" w:ascii="方正书宋_GBK" w:hAnsi="Calibri" w:eastAsia="方正书宋_GBK" w:cs="Times New Roman"/>
                <w:kern w:val="2"/>
                <w:sz w:val="21"/>
                <w:szCs w:val="22"/>
                <w:lang w:val="en-US" w:eastAsia="zh-CN" w:bidi="ar-SA"/>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hint="eastAsia" w:ascii="方正书宋_GBK" w:hAnsi="Calibri" w:eastAsia="方正书宋_GBK"/>
                <w:sz w:val="21"/>
                <w:szCs w:val="22"/>
              </w:rPr>
            </w:pPr>
          </w:p>
        </w:tc>
        <w:tc>
          <w:tcPr>
            <w:tcW w:w="1134"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成本指标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会议成本控制情况</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会议成本控制情况</w:t>
            </w:r>
          </w:p>
        </w:tc>
        <w:tc>
          <w:tcPr>
            <w:tcW w:w="1276" w:type="dxa"/>
            <w:shd w:val="clear" w:color="auto" w:fill="auto"/>
            <w:noWrap w:val="0"/>
            <w:vAlign w:val="center"/>
          </w:tcPr>
          <w:p>
            <w:pPr>
              <w:pStyle w:val="13"/>
              <w:ind w:firstLine="0" w:firstLineChars="0"/>
              <w:rPr>
                <w:rFonts w:hint="eastAsia" w:ascii="方正书宋_GBK" w:hAnsi="Calibri" w:eastAsia="方正书宋_GBK"/>
                <w:sz w:val="21"/>
                <w:szCs w:val="22"/>
              </w:rPr>
            </w:pPr>
            <w:r>
              <w:t>≤40万元</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shd w:val="clear" w:color="auto" w:fill="auto"/>
            <w:noWrap w:val="0"/>
            <w:vAlign w:val="center"/>
          </w:tcPr>
          <w:p>
            <w:pPr>
              <w:spacing w:line="300" w:lineRule="exact"/>
              <w:jc w:val="center"/>
              <w:rPr>
                <w:rFonts w:hint="eastAsia" w:ascii="方正书宋_GBK" w:hAnsi="Calibri" w:eastAsia="方正书宋_GBK"/>
                <w:sz w:val="21"/>
                <w:szCs w:val="22"/>
              </w:rPr>
            </w:pPr>
            <w:r>
              <w:rPr>
                <w:rFonts w:hint="eastAsia" w:ascii="方正书宋_GBK" w:hAnsi="Calibri" w:eastAsia="方正书宋_GBK"/>
                <w:sz w:val="21"/>
                <w:szCs w:val="22"/>
              </w:rPr>
              <w:t>效益指标</w:t>
            </w:r>
          </w:p>
        </w:tc>
        <w:tc>
          <w:tcPr>
            <w:tcW w:w="1134" w:type="dxa"/>
            <w:shd w:val="clear" w:color="auto" w:fill="auto"/>
            <w:noWrap w:val="0"/>
            <w:vAlign w:val="center"/>
          </w:tcPr>
          <w:p>
            <w:pPr>
              <w:pStyle w:val="13"/>
              <w:ind w:firstLine="0" w:firstLineChars="0"/>
              <w:rPr>
                <w:rFonts w:hint="eastAsia" w:ascii="方正书宋_GBK" w:hAnsi="Calibri" w:eastAsia="方正书宋_GBK"/>
                <w:sz w:val="21"/>
                <w:szCs w:val="22"/>
              </w:rPr>
            </w:pPr>
            <w:r>
              <w:t>社会效益指标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会议产生的良好社会效益</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会议产生的良好社会效益</w:t>
            </w:r>
          </w:p>
        </w:tc>
        <w:tc>
          <w:tcPr>
            <w:tcW w:w="1276" w:type="dxa"/>
            <w:shd w:val="clear" w:color="auto" w:fill="auto"/>
            <w:noWrap w:val="0"/>
            <w:vAlign w:val="center"/>
          </w:tcPr>
          <w:p>
            <w:pPr>
              <w:pStyle w:val="13"/>
              <w:ind w:firstLine="0" w:firstLineChars="0"/>
              <w:rPr>
                <w:rFonts w:hint="eastAsia" w:ascii="方正书宋_GBK" w:hAnsi="Calibri" w:eastAsia="方正书宋_GBK"/>
                <w:sz w:val="21"/>
                <w:szCs w:val="22"/>
              </w:rPr>
            </w:pPr>
            <w:r>
              <w:t>良好社会影响</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hint="eastAsia" w:ascii="方正书宋_GBK" w:hAnsi="Calibri" w:eastAsia="方正书宋_GBK"/>
                <w:sz w:val="21"/>
                <w:szCs w:val="22"/>
              </w:rPr>
            </w:pPr>
          </w:p>
        </w:tc>
        <w:tc>
          <w:tcPr>
            <w:tcW w:w="1134" w:type="dxa"/>
            <w:shd w:val="clear" w:color="auto" w:fill="auto"/>
            <w:noWrap w:val="0"/>
            <w:vAlign w:val="center"/>
          </w:tcPr>
          <w:p>
            <w:pPr>
              <w:pStyle w:val="13"/>
              <w:ind w:firstLine="0" w:firstLineChars="0"/>
              <w:rPr>
                <w:rFonts w:hint="eastAsia" w:ascii="方正书宋_GBK" w:hAnsi="Calibri" w:eastAsia="方正书宋_GBK"/>
                <w:sz w:val="21"/>
                <w:szCs w:val="22"/>
              </w:rPr>
            </w:pPr>
            <w:r>
              <w:t>经济效益指标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推动县域经济质量发展</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推动县域经济质量发展</w:t>
            </w:r>
          </w:p>
        </w:tc>
        <w:tc>
          <w:tcPr>
            <w:tcW w:w="1276" w:type="dxa"/>
            <w:shd w:val="clear" w:color="auto" w:fill="auto"/>
            <w:noWrap w:val="0"/>
            <w:vAlign w:val="center"/>
          </w:tcPr>
          <w:p>
            <w:pPr>
              <w:pStyle w:val="13"/>
              <w:ind w:firstLine="0" w:firstLineChars="0"/>
              <w:rPr>
                <w:rFonts w:hint="eastAsia" w:ascii="方正书宋_GBK" w:hAnsi="Calibri" w:eastAsia="方正书宋_GBK"/>
                <w:sz w:val="21"/>
                <w:szCs w:val="22"/>
              </w:rPr>
            </w:pPr>
            <w:r>
              <w:t>县域经济高质量发展</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00" w:hRule="atLeast"/>
          <w:jc w:val="center"/>
        </w:trPr>
        <w:tc>
          <w:tcPr>
            <w:tcW w:w="1134" w:type="dxa"/>
            <w:vMerge w:val="continue"/>
            <w:shd w:val="clear" w:color="auto" w:fill="auto"/>
            <w:noWrap w:val="0"/>
            <w:vAlign w:val="center"/>
          </w:tcPr>
          <w:p>
            <w:pPr>
              <w:spacing w:line="300" w:lineRule="exact"/>
              <w:jc w:val="center"/>
              <w:rPr>
                <w:rFonts w:hint="eastAsia" w:ascii="方正书宋_GBK" w:hAnsi="Calibri" w:eastAsia="方正书宋_GBK"/>
                <w:sz w:val="21"/>
                <w:szCs w:val="22"/>
              </w:rPr>
            </w:pPr>
          </w:p>
        </w:tc>
        <w:tc>
          <w:tcPr>
            <w:tcW w:w="1134"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生态效益指标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推动县域生态环保工作</w:t>
            </w:r>
          </w:p>
        </w:tc>
        <w:tc>
          <w:tcPr>
            <w:tcW w:w="2891" w:type="dxa"/>
            <w:shd w:val="clear" w:color="auto" w:fill="auto"/>
            <w:noWrap w:val="0"/>
            <w:vAlign w:val="center"/>
          </w:tcPr>
          <w:p>
            <w:pPr>
              <w:pStyle w:val="13"/>
              <w:ind w:firstLine="0" w:firstLineChars="0"/>
              <w:rPr>
                <w:rFonts w:hint="eastAsia" w:ascii="方正书宋_GBK" w:hAnsi="Calibri" w:eastAsia="方正书宋_GBK"/>
                <w:sz w:val="21"/>
                <w:szCs w:val="22"/>
              </w:rPr>
            </w:pPr>
            <w:r>
              <w:t>会议推动县域生态环保工作发展情况</w:t>
            </w:r>
          </w:p>
        </w:tc>
        <w:tc>
          <w:tcPr>
            <w:tcW w:w="1276" w:type="dxa"/>
            <w:shd w:val="clear" w:color="auto" w:fill="auto"/>
            <w:noWrap w:val="0"/>
            <w:vAlign w:val="center"/>
          </w:tcPr>
          <w:p>
            <w:pPr>
              <w:pStyle w:val="13"/>
              <w:ind w:firstLine="0" w:firstLineChars="0"/>
              <w:rPr>
                <w:rFonts w:hint="eastAsia" w:ascii="方正书宋_GBK" w:hAnsi="Calibri" w:eastAsia="方正书宋_GBK"/>
                <w:sz w:val="21"/>
                <w:szCs w:val="22"/>
              </w:rPr>
            </w:pPr>
            <w:r>
              <w:t>推动生态环保工作发展</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shd w:val="clear" w:color="auto" w:fill="auto"/>
            <w:noWrap w:val="0"/>
            <w:vAlign w:val="center"/>
          </w:tcPr>
          <w:p>
            <w:pPr>
              <w:spacing w:line="300" w:lineRule="exact"/>
              <w:jc w:val="center"/>
              <w:rPr>
                <w:rFonts w:hint="eastAsia" w:ascii="方正书宋_GBK" w:hAnsi="Calibri" w:eastAsia="方正书宋_GBK"/>
                <w:sz w:val="21"/>
                <w:szCs w:val="22"/>
              </w:rPr>
            </w:pPr>
          </w:p>
        </w:tc>
        <w:tc>
          <w:tcPr>
            <w:tcW w:w="1134" w:type="dxa"/>
            <w:shd w:val="clear" w:color="auto" w:fill="auto"/>
            <w:noWrap w:val="0"/>
            <w:vAlign w:val="center"/>
          </w:tcPr>
          <w:p>
            <w:pPr>
              <w:pStyle w:val="13"/>
              <w:ind w:firstLine="0" w:firstLineChars="0"/>
              <w:rPr>
                <w:rFonts w:hint="eastAsia" w:ascii="方正书宋_GBK" w:hAnsi="Calibri" w:eastAsia="方正书宋_GBK"/>
                <w:sz w:val="21"/>
                <w:szCs w:val="22"/>
              </w:rPr>
            </w:pPr>
            <w:r>
              <w:t>可持续影响指标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会议在全县产生可持续影响</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会议在全县产生可持续影响</w:t>
            </w:r>
          </w:p>
        </w:tc>
        <w:tc>
          <w:tcPr>
            <w:tcW w:w="1276" w:type="dxa"/>
            <w:shd w:val="clear" w:color="auto" w:fill="auto"/>
            <w:noWrap w:val="0"/>
            <w:vAlign w:val="center"/>
          </w:tcPr>
          <w:p>
            <w:pPr>
              <w:pStyle w:val="13"/>
              <w:ind w:firstLine="0" w:firstLineChars="0"/>
              <w:rPr>
                <w:rFonts w:hint="eastAsia" w:ascii="方正书宋_GBK" w:hAnsi="Calibri" w:eastAsia="方正书宋_GBK"/>
                <w:sz w:val="21"/>
                <w:szCs w:val="22"/>
              </w:rPr>
            </w:pPr>
            <w:r>
              <w:t>产生可持续影响情况</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shd w:val="clear" w:color="auto" w:fill="auto"/>
            <w:noWrap w:val="0"/>
            <w:vAlign w:val="center"/>
          </w:tcPr>
          <w:p>
            <w:pPr>
              <w:spacing w:line="300" w:lineRule="exact"/>
              <w:jc w:val="center"/>
              <w:rPr>
                <w:rFonts w:hint="eastAsia" w:ascii="方正书宋_GBK" w:hAnsi="Calibri" w:eastAsia="方正书宋_GBK"/>
                <w:sz w:val="21"/>
                <w:szCs w:val="22"/>
              </w:rPr>
            </w:pPr>
            <w:bookmarkStart w:id="39" w:name="_GoBack" w:colFirst="1" w:colLast="4"/>
            <w:r>
              <w:rPr>
                <w:rFonts w:hint="eastAsia" w:ascii="方正书宋_GBK" w:hAnsi="Calibri" w:eastAsia="方正书宋_GBK"/>
                <w:sz w:val="21"/>
                <w:szCs w:val="22"/>
              </w:rPr>
              <w:t>满意度指标</w:t>
            </w:r>
          </w:p>
        </w:tc>
        <w:tc>
          <w:tcPr>
            <w:tcW w:w="1134" w:type="dxa"/>
            <w:shd w:val="clear" w:color="auto" w:fill="auto"/>
            <w:noWrap w:val="0"/>
            <w:vAlign w:val="center"/>
          </w:tcPr>
          <w:p>
            <w:pPr>
              <w:pStyle w:val="13"/>
              <w:ind w:firstLine="0" w:firstLineChars="0"/>
              <w:rPr>
                <w:rFonts w:hint="eastAsia" w:ascii="方正书宋_GBK" w:hAnsi="Calibri" w:eastAsia="方正书宋_GBK"/>
                <w:sz w:val="21"/>
                <w:szCs w:val="22"/>
              </w:rPr>
            </w:pPr>
            <w:r>
              <w:t>服务对象满意度指标</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全体参会委员满意度高</w:t>
            </w:r>
          </w:p>
        </w:tc>
        <w:tc>
          <w:tcPr>
            <w:tcW w:w="2891" w:type="dxa"/>
            <w:shd w:val="clear" w:color="auto" w:fill="auto"/>
            <w:noWrap w:val="0"/>
            <w:vAlign w:val="center"/>
          </w:tcPr>
          <w:p>
            <w:pPr>
              <w:pStyle w:val="13"/>
              <w:ind w:firstLine="0" w:firstLineChars="0"/>
              <w:rPr>
                <w:rFonts w:ascii="方正书宋_GBK" w:hAnsi="Calibri" w:eastAsia="方正书宋_GBK"/>
                <w:sz w:val="21"/>
                <w:szCs w:val="22"/>
              </w:rPr>
            </w:pPr>
            <w:r>
              <w:t>全体参会委员满意度高</w:t>
            </w:r>
          </w:p>
        </w:tc>
        <w:tc>
          <w:tcPr>
            <w:tcW w:w="1276" w:type="dxa"/>
            <w:shd w:val="clear" w:color="auto" w:fill="auto"/>
            <w:noWrap w:val="0"/>
            <w:vAlign w:val="center"/>
          </w:tcPr>
          <w:p>
            <w:pPr>
              <w:pStyle w:val="13"/>
              <w:ind w:firstLine="0" w:firstLineChars="0"/>
              <w:rPr>
                <w:rFonts w:hint="default" w:ascii="方正书宋_GBK" w:hAnsi="Calibri" w:eastAsia="方正书宋_GBK"/>
                <w:sz w:val="21"/>
                <w:szCs w:val="22"/>
                <w:lang w:val="en-US" w:eastAsia="zh-CN"/>
              </w:rPr>
            </w:pPr>
            <w:r>
              <w:t>≥90委员满意率百分比</w:t>
            </w:r>
          </w:p>
        </w:tc>
        <w:tc>
          <w:tcPr>
            <w:tcW w:w="1701" w:type="dxa"/>
            <w:shd w:val="clear" w:color="auto" w:fill="auto"/>
            <w:noWrap w:val="0"/>
            <w:vAlign w:val="center"/>
          </w:tcPr>
          <w:p>
            <w:pPr>
              <w:spacing w:line="300" w:lineRule="exact"/>
              <w:jc w:val="left"/>
              <w:rPr>
                <w:rFonts w:hint="eastAsia" w:ascii="方正书宋_GBK" w:hAnsi="Calibri" w:eastAsia="方正书宋_GBK"/>
                <w:sz w:val="21"/>
                <w:szCs w:val="22"/>
              </w:rPr>
            </w:pPr>
            <w:r>
              <w:rPr>
                <w:rFonts w:hint="eastAsia" w:ascii="方正书宋_GBK" w:hAnsi="Calibri" w:eastAsia="方正书宋_GBK"/>
                <w:sz w:val="21"/>
                <w:szCs w:val="22"/>
              </w:rPr>
              <w:t>工作需要</w:t>
            </w:r>
          </w:p>
        </w:tc>
      </w:tr>
      <w:bookmarkEnd w:id="39"/>
    </w:tbl>
    <w:p>
      <w:pPr>
        <w:spacing w:line="600" w:lineRule="exact"/>
        <w:ind w:firstLine="600" w:firstLineChars="200"/>
        <w:outlineLvl w:val="0"/>
        <w:rPr>
          <w:rFonts w:hint="eastAsia" w:ascii="仿宋" w:hAnsi="仿宋" w:eastAsia="仿宋" w:cs="仿宋"/>
          <w:lang w:eastAsia="zh-CN"/>
        </w:rPr>
      </w:pPr>
    </w:p>
    <w:p>
      <w:pPr>
        <w:numPr>
          <w:ilvl w:val="0"/>
          <w:numId w:val="0"/>
        </w:numPr>
        <w:spacing w:line="600" w:lineRule="exact"/>
        <w:ind w:leftChars="200"/>
        <w:rPr>
          <w:rFonts w:hint="eastAsia" w:ascii="仿宋" w:hAnsi="仿宋" w:eastAsia="仿宋" w:cs="仿宋"/>
          <w:lang w:eastAsia="zh-CN"/>
        </w:rPr>
      </w:pPr>
      <w:bookmarkStart w:id="30" w:name="_Toc14430_WPSOffice_Level1"/>
      <w:r>
        <w:rPr>
          <w:rFonts w:hint="eastAsia" w:ascii="仿宋" w:hAnsi="仿宋" w:eastAsia="仿宋" w:cs="仿宋"/>
          <w:lang w:eastAsia="zh-CN"/>
        </w:rPr>
        <w:t>四、项目基本情况</w:t>
      </w:r>
      <w:bookmarkEnd w:id="30"/>
    </w:p>
    <w:p>
      <w:pPr>
        <w:spacing w:line="600" w:lineRule="exact"/>
        <w:ind w:firstLine="600" w:firstLineChars="200"/>
        <w:outlineLvl w:val="0"/>
        <w:rPr>
          <w:rFonts w:hint="default" w:ascii="仿宋" w:hAnsi="仿宋" w:eastAsia="仿宋" w:cs="仿宋"/>
          <w:highlight w:val="yellow"/>
          <w:lang w:val="en-US"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w:t>
      </w:r>
      <w:r>
        <w:rPr>
          <w:rFonts w:hint="eastAsia" w:ascii="仿宋" w:hAnsi="仿宋" w:eastAsia="仿宋" w:cs="仿宋"/>
          <w:lang w:val="en-US" w:eastAsia="zh-CN"/>
        </w:rPr>
        <w:t>经召开县政协主席会议及县政协常委会议审议，并报告县委常委会议审议通过。</w:t>
      </w:r>
      <w:r>
        <w:rPr>
          <w:rFonts w:hint="eastAsia" w:ascii="仿宋" w:hAnsi="仿宋" w:eastAsia="仿宋" w:cs="仿宋"/>
          <w:sz w:val="32"/>
          <w:szCs w:val="32"/>
        </w:rPr>
        <w:t>项目立项符合国家法律法规、国民经济发展规划和相关政策；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我单位经过认真的绩效评价，实行评分制，评价结果为94分。优秀（≥90分）。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3"/>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numPr>
          <w:ilvl w:val="0"/>
          <w:numId w:val="0"/>
        </w:numPr>
        <w:spacing w:line="600" w:lineRule="exact"/>
        <w:rPr>
          <w:rFonts w:hint="default" w:ascii="仿宋" w:hAnsi="仿宋" w:eastAsia="仿宋" w:cs="仿宋"/>
          <w:b/>
          <w:bCs/>
          <w:lang w:val="en-US" w:eastAsia="zh-CN"/>
        </w:rPr>
      </w:pPr>
      <w:r>
        <w:rPr>
          <w:rFonts w:hint="eastAsia" w:ascii="仿宋" w:hAnsi="仿宋" w:eastAsia="仿宋" w:cs="仿宋"/>
          <w:b/>
          <w:bCs/>
          <w:lang w:val="en-US" w:eastAsia="zh-CN"/>
        </w:rPr>
        <w:t xml:space="preserve">     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书宋_GBK">
    <w:altName w:val="宋体"/>
    <w:panose1 w:val="00000000000000000000"/>
    <w:charset w:val="86"/>
    <w:family w:val="roman"/>
    <w:pitch w:val="default"/>
    <w:sig w:usb0="00000000" w:usb1="00000000" w:usb2="00000000"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3747D8"/>
    <w:rsid w:val="0B406230"/>
    <w:rsid w:val="10344175"/>
    <w:rsid w:val="10950344"/>
    <w:rsid w:val="14C544DE"/>
    <w:rsid w:val="18316FEC"/>
    <w:rsid w:val="1CD83AD4"/>
    <w:rsid w:val="28E31734"/>
    <w:rsid w:val="2E722C7C"/>
    <w:rsid w:val="2EBC5DD8"/>
    <w:rsid w:val="2F7D571C"/>
    <w:rsid w:val="3E606C0D"/>
    <w:rsid w:val="3FC64A7F"/>
    <w:rsid w:val="43BE5516"/>
    <w:rsid w:val="4C513BE2"/>
    <w:rsid w:val="500752BA"/>
    <w:rsid w:val="5A392CCC"/>
    <w:rsid w:val="6A7F14C0"/>
    <w:rsid w:val="7A615F8B"/>
    <w:rsid w:val="7B136824"/>
    <w:rsid w:val="7D8B382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4</Pages>
  <Words>257</Words>
  <Characters>1470</Characters>
  <Lines>0</Lines>
  <Paragraphs>0</Paragraphs>
  <TotalTime>4</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cp:lastPrinted>2024-04-23T06:17:32Z</cp:lastPrinted>
  <dcterms:modified xsi:type="dcterms:W3CDTF">2024-04-23T06:25:26Z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