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中国人民政治协商会议玉田县委员会   </w:t>
      </w: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0315-6113293 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570.95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515.31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90.25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：围绕县委的工作部署，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中央和省市县委的正确领导下，以习近平新时代中国特色社会主义思想为指导，以提质增效为导向，以规范管理为手段，牢牢把握政协性质定位，不断强化使命担当，发挥专门协商机构作用，狠抓协商议政、调研视察、委员提案、文史资料、队伍建设五项重点工作，着力在凝聚共识和建言资政上双向发力，为助推“科创商贸名城、京东魅力玉田”建设和助力玉田县“十四五”规划发展起好步、开好局贡献政协的智慧和力量。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 xml:space="preserve">131中国人民政治协商会议玉田县委员会本级  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060"/>
        <w:gridCol w:w="1062"/>
        <w:gridCol w:w="1064"/>
        <w:gridCol w:w="1064"/>
        <w:gridCol w:w="1064"/>
        <w:gridCol w:w="1064"/>
        <w:gridCol w:w="1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7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人员经费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370.17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用于人员相关费用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全年工资、补贴及各保险支出得到良好保障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376"/>
              </w:tabs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公用经费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50.54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用于机关运行相关费用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全年机关运行费用得到良好支持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常务委员会委员培训费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用于常委培训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常委培训顺利开展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委员订刊经费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用于委员刊物征订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委员刊物征订圆满完成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文史资料编辑费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15.1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用于政协文史资料编印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文史资料书籍顺利编印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县政协会议费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用于十一届三次会议召开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县政协十一届三次会议顺利召开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220" w:firstLineChars="100"/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3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县政协履职能力建设培训班经费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31.36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用于委员培训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培训顺利举行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政协委员活动经费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9.96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用于委员活动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全年委员活动顺利开展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政协专用经费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用于机关运行及政协工作开展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机关运行良好工作正常开展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县政协秘书长</w:t>
      </w:r>
      <w:r>
        <w:rPr>
          <w:rFonts w:hint="eastAsia" w:ascii="仿宋_GB2312" w:eastAsia="仿宋_GB2312"/>
          <w:sz w:val="32"/>
          <w:szCs w:val="32"/>
        </w:rPr>
        <w:t>任组长，由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办公室、社会法治和民族宗教委员会负责同志</w:t>
      </w:r>
      <w:r>
        <w:rPr>
          <w:rFonts w:hint="eastAsia" w:ascii="仿宋_GB2312" w:eastAsia="仿宋_GB2312"/>
          <w:sz w:val="32"/>
          <w:szCs w:val="32"/>
        </w:rPr>
        <w:t>共3人组成部门绩效评价小组，负责绩效评价具体工作。评价小组认真学习绩效评价相关文件以及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本单位</w:t>
      </w:r>
      <w:r>
        <w:rPr>
          <w:rFonts w:hint="eastAsia" w:ascii="仿宋_GB2312" w:eastAsia="仿宋_GB2312"/>
          <w:sz w:val="32"/>
          <w:szCs w:val="32"/>
        </w:rPr>
        <w:t>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515.31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NmNiMTlhNzE4MGMyOWFmMzk0YWJmZTczN2Q2YjEifQ=="/>
  </w:docVars>
  <w:rsids>
    <w:rsidRoot w:val="18FD3CCE"/>
    <w:rsid w:val="18FD3CCE"/>
    <w:rsid w:val="22A13FA5"/>
    <w:rsid w:val="39B8262A"/>
    <w:rsid w:val="6C653BCD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2024-04-22T13:11:27Z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0A7EC778D19C4F6C8E2FF80F7B28F2E9_11</vt:lpwstr>
  </property>
</Properties>
</file>