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新的社会阶层人士联络经费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bookmarkStart w:id="0" w:name="_GoBack"/>
      <w:bookmarkEnd w:id="0"/>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新的社会阶层人士联谊会2万元：主要用于新的社会阶层人士统战工作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（二）项目绩效目标。开展新的社会阶层人士统战工作。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51D879E2"/>
    <w:rsid w:val="528732EB"/>
    <w:rsid w:val="5C0723F9"/>
    <w:rsid w:val="5C1C571F"/>
    <w:rsid w:val="63AF0C61"/>
    <w:rsid w:val="6EF7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2024-04-26T11:05:36Z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0D5D670246B34073A4DA3E4A934ED6F9</vt:lpwstr>
  </property>
</Properties>
</file>