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>中国共产党玉田县纪律检查委员会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0315-6113616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3104.3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2111.5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68.02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11.33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11.33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（1）行政运转保障</w:t>
      </w:r>
    </w:p>
    <w:p>
      <w:pPr>
        <w:spacing w:line="600" w:lineRule="atLeast"/>
        <w:ind w:firstLine="640" w:firstLineChars="200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年度预算安排支出主要用于保障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纪委</w:t>
      </w:r>
      <w:r>
        <w:rPr>
          <w:rFonts w:hint="eastAsia" w:ascii="仿宋" w:hAnsi="仿宋" w:eastAsia="仿宋" w:cs="Times New Roman"/>
          <w:sz w:val="32"/>
          <w:szCs w:val="32"/>
        </w:rPr>
        <w:t>机构正常运转，完成日常工作任务，管理和应用好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纪委</w:t>
      </w:r>
      <w:r>
        <w:rPr>
          <w:rFonts w:hint="eastAsia" w:ascii="仿宋" w:hAnsi="仿宋" w:eastAsia="仿宋" w:cs="Times New Roman"/>
          <w:sz w:val="32"/>
          <w:szCs w:val="32"/>
        </w:rPr>
        <w:t>项目资金，保障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Times New Roman"/>
          <w:sz w:val="32"/>
          <w:szCs w:val="32"/>
        </w:rPr>
        <w:t>项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监督检查办案</w:t>
      </w:r>
      <w:r>
        <w:rPr>
          <w:rFonts w:hint="eastAsia" w:ascii="仿宋" w:hAnsi="仿宋" w:eastAsia="仿宋" w:cs="Times New Roman"/>
          <w:sz w:val="32"/>
          <w:szCs w:val="32"/>
        </w:rPr>
        <w:t>工作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顺利开展。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基本支出，是用于保障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委</w:t>
      </w:r>
      <w:r>
        <w:rPr>
          <w:rFonts w:hint="eastAsia" w:ascii="仿宋" w:hAnsi="仿宋" w:eastAsia="仿宋" w:cs="Times New Roman"/>
          <w:sz w:val="32"/>
          <w:szCs w:val="32"/>
        </w:rPr>
        <w:t>机关及下属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廉政中心</w:t>
      </w:r>
      <w:r>
        <w:rPr>
          <w:rFonts w:hint="eastAsia" w:ascii="仿宋" w:hAnsi="仿宋" w:eastAsia="仿宋" w:cs="Times New Roman"/>
          <w:sz w:val="32"/>
          <w:szCs w:val="32"/>
        </w:rPr>
        <w:t>正常运转的日常支出,包括基本工资、津贴补贴、社会保障、机关事业单位基本养老保险、离退休费、住房公积金和日常公用经费等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项目支出，是用于保障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纪委</w:t>
      </w:r>
      <w:r>
        <w:rPr>
          <w:rFonts w:hint="eastAsia" w:ascii="仿宋" w:hAnsi="仿宋" w:eastAsia="仿宋" w:cs="Times New Roman"/>
          <w:sz w:val="32"/>
          <w:szCs w:val="32"/>
        </w:rPr>
        <w:t>为完成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纪委</w:t>
      </w:r>
      <w:r>
        <w:rPr>
          <w:rFonts w:hint="eastAsia" w:ascii="仿宋" w:hAnsi="仿宋" w:eastAsia="仿宋" w:cs="Times New Roman"/>
          <w:sz w:val="32"/>
          <w:szCs w:val="32"/>
        </w:rPr>
        <w:t>工作任务，用于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Times New Roman"/>
          <w:sz w:val="32"/>
          <w:szCs w:val="32"/>
        </w:rPr>
        <w:t>项业务工作的经费支出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（2）机关厉行节约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严格执行中央八项规定和省、市十项规定，从严控制“三公”经费预算支出。2023年全年无因公出国（境）费用，车辆运行维护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费25.93万元；公务接待费4.84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万元。</w:t>
      </w:r>
    </w:p>
    <w:p>
      <w:pPr>
        <w:spacing w:line="600" w:lineRule="atLeas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按照我单位预算绩效管理工作的总体要求，结合我单位的实际情况，通过对绩效自评结果与年初绩效目标设定对比，我们认为，2023年我委预算绩效目标、指标设置全面完整、科学合理，绩效目标和指标值匹配度较高。评价指标的设定，既有具体可考的客观指标，又有综合定性的主观指标，定量与定性指标权量安排合理、恰当，能够准确地反映出项目运行的结果。通过整体全面、科学合理的预算绩效目标、指标设定，强化了相关职能部门的责任，提高了财政资金的支出效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101玉田县人民代表大会常委委员会本级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060"/>
        <w:gridCol w:w="1062"/>
        <w:gridCol w:w="1064"/>
        <w:gridCol w:w="1064"/>
        <w:gridCol w:w="1064"/>
        <w:gridCol w:w="106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办案经费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案件办理经费支出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党风政风监督检查经费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监督检查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开展县委巡察工作经费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巡视巡察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纪检监察内外网建设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150.33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网络安全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谈话室运行维护费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办案安全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25%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乡镇纪委办案经费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办案经费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公车购置及相关税费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公车购置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配合上级纪委办案经费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办案经费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纪委监督经费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监督经费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中央转移支付资金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11.33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上级专款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廉政中心日常运转经费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中心日常经费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廉政宣教中心经费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187.78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廉政宣教中心项目工程款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500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项目经费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工作顺利开展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</w:t>
      </w:r>
      <w:r>
        <w:rPr>
          <w:rFonts w:hint="eastAsia" w:ascii="仿宋_GB2312" w:eastAsia="仿宋_GB2312"/>
          <w:sz w:val="32"/>
          <w:szCs w:val="32"/>
          <w:lang w:eastAsia="zh-CN"/>
        </w:rPr>
        <w:t>室负责人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eastAsia="zh-CN"/>
        </w:rPr>
        <w:t>财务专员</w:t>
      </w:r>
      <w:r>
        <w:rPr>
          <w:rFonts w:hint="eastAsia" w:ascii="仿宋_GB2312" w:eastAsia="仿宋_GB2312"/>
          <w:sz w:val="32"/>
          <w:szCs w:val="32"/>
        </w:rPr>
        <w:t>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818.37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1、有些项目属于购买货物类项目，只有在工作需要时购买货物才由此项资金支出。</w:t>
      </w:r>
    </w:p>
    <w:p>
      <w:pPr>
        <w:ind w:firstLine="640" w:firstLineChars="200"/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2、有些项目不属于均衡项目，它是根据工作任务进行支出，因工作的不确定性，导致支出进度存在差异。</w:t>
      </w:r>
    </w:p>
    <w:p>
      <w:pPr>
        <w:ind w:firstLine="640" w:firstLineChars="200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3、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eastAsia="zh-CN"/>
        </w:rPr>
        <w:t>由于财政资金紧张，大部分项目经费未拨付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，导致202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年资金支出进度缓慢。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4AC2FBA"/>
    <w:rsid w:val="05E155B5"/>
    <w:rsid w:val="06A83CF9"/>
    <w:rsid w:val="09773E97"/>
    <w:rsid w:val="0F8C7AB6"/>
    <w:rsid w:val="10453240"/>
    <w:rsid w:val="132542AB"/>
    <w:rsid w:val="15E13171"/>
    <w:rsid w:val="16980722"/>
    <w:rsid w:val="18FD3CCE"/>
    <w:rsid w:val="1AAB65CD"/>
    <w:rsid w:val="1FC7052F"/>
    <w:rsid w:val="24D97602"/>
    <w:rsid w:val="27133A29"/>
    <w:rsid w:val="29DD3EBD"/>
    <w:rsid w:val="300D1C89"/>
    <w:rsid w:val="323352EB"/>
    <w:rsid w:val="38463F61"/>
    <w:rsid w:val="389F7E73"/>
    <w:rsid w:val="39B8262A"/>
    <w:rsid w:val="3BB34691"/>
    <w:rsid w:val="412F48FF"/>
    <w:rsid w:val="45BE11FB"/>
    <w:rsid w:val="48D17129"/>
    <w:rsid w:val="4FBE00F1"/>
    <w:rsid w:val="50E52447"/>
    <w:rsid w:val="551560C9"/>
    <w:rsid w:val="56CC3C5E"/>
    <w:rsid w:val="58E31EE2"/>
    <w:rsid w:val="59337A15"/>
    <w:rsid w:val="5B952750"/>
    <w:rsid w:val="5D4B4B60"/>
    <w:rsid w:val="64C14E5C"/>
    <w:rsid w:val="66D35B41"/>
    <w:rsid w:val="6B421B88"/>
    <w:rsid w:val="6BF22C25"/>
    <w:rsid w:val="6C5C5DC2"/>
    <w:rsid w:val="70E0537A"/>
    <w:rsid w:val="715D0E44"/>
    <w:rsid w:val="733B519B"/>
    <w:rsid w:val="77DF3A3C"/>
    <w:rsid w:val="7A564644"/>
    <w:rsid w:val="7DE2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2024-04-28T06:39:06Z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