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玉田县档案馆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0315-6114834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419.1614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408.993945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97.57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241玉田县档案馆本级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060"/>
        <w:gridCol w:w="1062"/>
        <w:gridCol w:w="1064"/>
        <w:gridCol w:w="1064"/>
        <w:gridCol w:w="1064"/>
        <w:gridCol w:w="106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7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编辑、出版《玉田年鉴》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用于编辑、出版《玉田年鉴》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编辑、出版《玉田年鉴》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档案保护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档案保护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档案保护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档案数字化工作经费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档案数字化工作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档案数字化工作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档案业务费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档案业务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档案业务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全县统一购置档案盒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全县统一购置档案盒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全县统一购置档案盒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县档案馆新建工程前期手续资金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县档案馆新建工程前期手续资金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县档案馆新建工程前期手续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玉田县国家档案馆配套设备款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用于购置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玉田县国家档案馆配套设备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玉田县国家档案馆配套设备款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购置完成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191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2F46BA2"/>
    <w:rsid w:val="031A639B"/>
    <w:rsid w:val="0E265DEE"/>
    <w:rsid w:val="18FD3CCE"/>
    <w:rsid w:val="37556BD7"/>
    <w:rsid w:val="39B8262A"/>
    <w:rsid w:val="569F6734"/>
    <w:rsid w:val="58CA6DBA"/>
    <w:rsid w:val="62045DA2"/>
    <w:rsid w:val="70E0537A"/>
    <w:rsid w:val="7168781F"/>
    <w:rsid w:val="7E9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2024-04-24T08:46:06Z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0A7EC778D19C4F6C8E2FF80F7B28F2E9_11</vt:lpwstr>
  </property>
</Properties>
</file>