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中共玉田县委县直机关工作委员会</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党组织活动经费</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pStyle w:val="4"/>
        <w:wordWrap w:val="0"/>
        <w:spacing w:line="352" w:lineRule="atLeast"/>
        <w:ind w:firstLine="470" w:firstLineChars="147"/>
        <w:jc w:val="both"/>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pStyle w:val="4"/>
        <w:wordWrap w:val="0"/>
        <w:spacing w:line="352" w:lineRule="atLeast"/>
        <w:ind w:firstLine="470" w:firstLineChars="147"/>
        <w:jc w:val="both"/>
        <w:rPr>
          <w:rFonts w:ascii="仿宋" w:hAnsi="仿宋" w:eastAsia="仿宋" w:cs="Times New Roman"/>
          <w:color w:val="000000"/>
          <w:sz w:val="32"/>
          <w:szCs w:val="32"/>
        </w:rPr>
      </w:pPr>
      <w:r>
        <w:rPr>
          <w:rFonts w:ascii="仿宋" w:hAnsi="仿宋" w:eastAsia="仿宋" w:cs="Times New Roman"/>
          <w:color w:val="000000"/>
          <w:sz w:val="32"/>
          <w:szCs w:val="32"/>
        </w:rPr>
        <w:t>20</w:t>
      </w:r>
      <w:r>
        <w:rPr>
          <w:rFonts w:hint="eastAsia" w:ascii="仿宋" w:hAnsi="仿宋" w:eastAsia="仿宋" w:cs="Times New Roman"/>
          <w:color w:val="000000"/>
          <w:sz w:val="32"/>
          <w:szCs w:val="32"/>
          <w:lang w:val="en-US" w:eastAsia="zh-CN"/>
        </w:rPr>
        <w:t>23</w:t>
      </w:r>
      <w:r>
        <w:rPr>
          <w:rFonts w:hint="eastAsia" w:ascii="仿宋" w:hAnsi="仿宋" w:eastAsia="仿宋" w:cs="Times New Roman"/>
          <w:color w:val="000000"/>
          <w:sz w:val="32"/>
          <w:szCs w:val="32"/>
        </w:rPr>
        <w:t>年县级预算安排资金</w:t>
      </w:r>
      <w:r>
        <w:rPr>
          <w:rFonts w:hint="eastAsia" w:ascii="仿宋" w:hAnsi="仿宋" w:eastAsia="仿宋" w:cs="Times New Roman"/>
          <w:color w:val="000000"/>
          <w:sz w:val="32"/>
          <w:szCs w:val="32"/>
          <w:lang w:val="en-US" w:eastAsia="zh-CN"/>
        </w:rPr>
        <w:t>105.2</w:t>
      </w:r>
      <w:r>
        <w:rPr>
          <w:rFonts w:hint="eastAsia" w:ascii="仿宋" w:hAnsi="仿宋" w:eastAsia="仿宋" w:cs="Times New Roman"/>
          <w:color w:val="000000"/>
          <w:sz w:val="32"/>
          <w:szCs w:val="32"/>
        </w:rPr>
        <w:t>万元，其中：纳入绩效自评的专项项目总量为</w:t>
      </w:r>
      <w:r>
        <w:rPr>
          <w:rFonts w:hint="eastAsia"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rPr>
        <w:t>个，资金总量为</w:t>
      </w:r>
      <w:r>
        <w:rPr>
          <w:rFonts w:hint="eastAsia" w:ascii="仿宋" w:hAnsi="仿宋" w:eastAsia="仿宋" w:cs="Times New Roman"/>
          <w:color w:val="000000"/>
          <w:sz w:val="32"/>
          <w:szCs w:val="32"/>
          <w:lang w:val="en-US" w:eastAsia="zh-CN"/>
        </w:rPr>
        <w:t>3.5</w:t>
      </w:r>
      <w:r>
        <w:rPr>
          <w:rFonts w:hint="eastAsia" w:ascii="仿宋" w:hAnsi="仿宋" w:eastAsia="仿宋" w:cs="Times New Roman"/>
          <w:color w:val="000000"/>
          <w:sz w:val="32"/>
          <w:szCs w:val="32"/>
        </w:rPr>
        <w:t>万元。</w:t>
      </w:r>
      <w:r>
        <w:rPr>
          <w:rFonts w:hint="eastAsia" w:ascii="仿宋" w:hAnsi="仿宋" w:eastAsia="仿宋" w:cs="Times New Roman"/>
          <w:color w:val="000000"/>
          <w:sz w:val="32"/>
          <w:szCs w:val="32"/>
          <w:lang w:val="en-US" w:eastAsia="zh-CN"/>
        </w:rPr>
        <w:t>2023</w:t>
      </w:r>
      <w:r>
        <w:rPr>
          <w:rFonts w:hint="eastAsia" w:ascii="仿宋" w:hAnsi="仿宋" w:eastAsia="仿宋" w:cs="Times New Roman"/>
          <w:color w:val="000000"/>
          <w:sz w:val="32"/>
          <w:szCs w:val="32"/>
        </w:rPr>
        <w:t>年无上级专项转移支付资金。</w:t>
      </w:r>
    </w:p>
    <w:p>
      <w:pPr>
        <w:pStyle w:val="4"/>
        <w:wordWrap w:val="0"/>
        <w:spacing w:line="352" w:lineRule="atLeast"/>
        <w:ind w:firstLine="470" w:firstLineChars="147"/>
        <w:jc w:val="both"/>
        <w:rPr>
          <w:rFonts w:hint="eastAsia"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项目</w:t>
      </w:r>
      <w:r>
        <w:rPr>
          <w:rFonts w:hint="eastAsia" w:ascii="仿宋" w:hAnsi="仿宋" w:eastAsia="仿宋" w:cs="Times New Roman"/>
          <w:color w:val="000000"/>
          <w:sz w:val="32"/>
          <w:szCs w:val="32"/>
        </w:rPr>
        <w:t>立项</w:t>
      </w:r>
      <w:r>
        <w:rPr>
          <w:rFonts w:hint="eastAsia" w:ascii="仿宋" w:hAnsi="仿宋" w:eastAsia="仿宋" w:cs="Times New Roman"/>
          <w:color w:val="000000"/>
          <w:sz w:val="32"/>
          <w:szCs w:val="32"/>
          <w:lang w:val="en-US" w:eastAsia="zh-CN"/>
        </w:rPr>
        <w:t>背景是</w:t>
      </w:r>
      <w:r>
        <w:rPr>
          <w:rFonts w:hint="eastAsia" w:ascii="仿宋" w:hAnsi="仿宋" w:eastAsia="仿宋" w:cs="Times New Roman"/>
          <w:color w:val="000000"/>
          <w:sz w:val="32"/>
          <w:szCs w:val="32"/>
        </w:rPr>
        <w:t>依据</w:t>
      </w:r>
      <w:r>
        <w:rPr>
          <w:rFonts w:hint="eastAsia" w:ascii="仿宋" w:hAnsi="仿宋" w:eastAsia="仿宋" w:cs="Times New Roman"/>
          <w:color w:val="000000"/>
          <w:sz w:val="32"/>
          <w:szCs w:val="32"/>
          <w:lang w:eastAsia="zh-CN"/>
        </w:rPr>
        <w:t>《中国共产党党和国家机关基层组织工作条例》、《</w:t>
      </w:r>
      <w:r>
        <w:rPr>
          <w:rFonts w:hint="eastAsia" w:ascii="仿宋" w:hAnsi="仿宋" w:eastAsia="仿宋" w:cs="Times New Roman"/>
          <w:color w:val="000000"/>
          <w:sz w:val="32"/>
          <w:szCs w:val="32"/>
        </w:rPr>
        <w:t>中共河北省委关于贯彻</w:t>
      </w:r>
      <w:r>
        <w:rPr>
          <w:rFonts w:hint="eastAsia" w:ascii="仿宋" w:hAnsi="仿宋" w:eastAsia="仿宋" w:cs="Times New Roman"/>
          <w:color w:val="000000"/>
          <w:sz w:val="32"/>
          <w:szCs w:val="32"/>
          <w:lang w:val="en-US" w:eastAsia="zh-CN"/>
        </w:rPr>
        <w:t>&lt;</w:t>
      </w:r>
      <w:r>
        <w:rPr>
          <w:rFonts w:hint="eastAsia" w:ascii="仿宋" w:hAnsi="仿宋" w:eastAsia="仿宋" w:cs="Times New Roman"/>
          <w:color w:val="000000"/>
          <w:sz w:val="32"/>
          <w:szCs w:val="32"/>
        </w:rPr>
        <w:t>中国共产党党和国家机关基层组织工作条例</w:t>
      </w:r>
      <w:r>
        <w:rPr>
          <w:rFonts w:hint="eastAsia" w:ascii="仿宋" w:hAnsi="仿宋" w:eastAsia="仿宋" w:cs="Times New Roman"/>
          <w:color w:val="000000"/>
          <w:sz w:val="32"/>
          <w:szCs w:val="32"/>
          <w:lang w:val="en-US" w:eastAsia="zh-CN"/>
        </w:rPr>
        <w:t>&gt;</w:t>
      </w:r>
      <w:r>
        <w:rPr>
          <w:rFonts w:hint="eastAsia" w:ascii="仿宋" w:hAnsi="仿宋" w:eastAsia="仿宋" w:cs="Times New Roman"/>
          <w:color w:val="000000"/>
          <w:sz w:val="32"/>
          <w:szCs w:val="32"/>
        </w:rPr>
        <w:t>的实施办法</w:t>
      </w:r>
      <w:r>
        <w:rPr>
          <w:rFonts w:hint="eastAsia" w:ascii="仿宋" w:hAnsi="仿宋" w:eastAsia="仿宋" w:cs="Times New Roman"/>
          <w:color w:val="000000"/>
          <w:sz w:val="32"/>
          <w:szCs w:val="32"/>
          <w:lang w:eastAsia="zh-CN"/>
        </w:rPr>
        <w:t>》</w:t>
      </w:r>
      <w:r>
        <w:rPr>
          <w:rFonts w:hint="eastAsia" w:ascii="仿宋" w:hAnsi="仿宋" w:eastAsia="仿宋" w:cs="Times New Roman"/>
          <w:color w:val="000000"/>
          <w:sz w:val="32"/>
          <w:szCs w:val="32"/>
          <w:lang w:val="en-US" w:eastAsia="zh-CN"/>
        </w:rPr>
        <w:t>和《中共唐山市委关于贯彻&lt;中国共产党党和国家机关基层组织工作条例&gt;的实施细则》有关规定，</w:t>
      </w:r>
      <w:r>
        <w:rPr>
          <w:rFonts w:hint="eastAsia" w:ascii="仿宋" w:hAnsi="仿宋" w:eastAsia="仿宋" w:cs="Times New Roman"/>
          <w:color w:val="000000"/>
          <w:sz w:val="32"/>
          <w:szCs w:val="32"/>
        </w:rPr>
        <w:t>党组织活动经费，列入本级财政预算，独立设立科目，有</w:t>
      </w:r>
      <w:r>
        <w:rPr>
          <w:rFonts w:hint="eastAsia" w:ascii="仿宋" w:hAnsi="仿宋" w:eastAsia="仿宋" w:cs="Times New Roman"/>
          <w:color w:val="000000"/>
          <w:sz w:val="32"/>
          <w:szCs w:val="32"/>
          <w:lang w:val="en-US" w:eastAsia="zh-CN"/>
        </w:rPr>
        <w:t>关</w:t>
      </w:r>
      <w:r>
        <w:rPr>
          <w:rFonts w:hint="eastAsia" w:ascii="仿宋" w:hAnsi="仿宋" w:eastAsia="仿宋" w:cs="Times New Roman"/>
          <w:color w:val="000000"/>
          <w:sz w:val="32"/>
          <w:szCs w:val="32"/>
        </w:rPr>
        <w:t>机关基层党组织统筹安排使用</w:t>
      </w:r>
      <w:r>
        <w:rPr>
          <w:rFonts w:hint="eastAsia" w:ascii="仿宋" w:hAnsi="仿宋" w:eastAsia="仿宋"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黑体" w:eastAsia="仿宋_GB2312" w:cs="仿宋"/>
          <w:b/>
          <w:bCs/>
          <w:sz w:val="32"/>
          <w:szCs w:val="32"/>
        </w:rPr>
      </w:pPr>
      <w:r>
        <w:rPr>
          <w:rFonts w:hint="eastAsia" w:ascii="仿宋" w:hAnsi="仿宋" w:eastAsia="仿宋"/>
          <w:sz w:val="32"/>
          <w:szCs w:val="32"/>
          <w:lang w:val="en-US" w:eastAsia="zh-CN"/>
        </w:rPr>
        <w:t>党组织活动经费项目主要用于</w:t>
      </w:r>
      <w:r>
        <w:rPr>
          <w:rFonts w:hint="eastAsia" w:ascii="仿宋_GB2312" w:eastAsia="仿宋_GB2312"/>
          <w:sz w:val="32"/>
          <w:szCs w:val="32"/>
        </w:rPr>
        <w:t>指导机关工委认真落实《党章》，加强基层党组织建设，严格组织生活制度，丰富党建活动内容，做好党员发展、教育、管理、服务和党务干部的教育培训工作，充分发挥党组织的战斗堡垒作用和党员的先锋模范作用</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仿宋_GB2312" w:eastAsia="仿宋_GB2312"/>
          <w:sz w:val="32"/>
          <w:szCs w:val="32"/>
          <w:lang w:val="en-US"/>
        </w:rPr>
      </w:pPr>
      <w:r>
        <w:rPr>
          <w:rFonts w:ascii="仿宋" w:hAnsi="仿宋" w:eastAsia="仿宋"/>
          <w:sz w:val="32"/>
          <w:szCs w:val="32"/>
        </w:rPr>
        <w:t xml:space="preserve"> </w:t>
      </w:r>
      <w:r>
        <w:rPr>
          <w:rFonts w:hint="eastAsia" w:ascii="仿宋" w:hAnsi="仿宋" w:eastAsia="仿宋"/>
          <w:sz w:val="32"/>
          <w:szCs w:val="32"/>
          <w:lang w:val="en-US" w:eastAsia="zh-CN"/>
        </w:rPr>
        <w:t>2023</w:t>
      </w:r>
      <w:r>
        <w:rPr>
          <w:rFonts w:hint="eastAsia" w:ascii="仿宋" w:hAnsi="仿宋" w:eastAsia="仿宋"/>
          <w:sz w:val="32"/>
          <w:szCs w:val="32"/>
        </w:rPr>
        <w:t>年度</w:t>
      </w:r>
      <w:r>
        <w:rPr>
          <w:rFonts w:hint="eastAsia" w:ascii="仿宋" w:hAnsi="仿宋" w:eastAsia="仿宋"/>
          <w:sz w:val="32"/>
          <w:szCs w:val="32"/>
          <w:lang w:val="en-US" w:eastAsia="zh-CN"/>
        </w:rPr>
        <w:t>党组织活动经费项目实际使用资金2.50万元，主要用于保障党组织的日常工作的正常开展和教育培训党员、购买用于开展党员教育的报刊、表彰先进基层党组织和优秀共产党员等专题活动。</w:t>
      </w:r>
    </w:p>
    <w:p>
      <w:pPr>
        <w:ind w:firstLine="640" w:firstLineChars="200"/>
        <w:rPr>
          <w:rFonts w:ascii="仿宋_GB2312" w:eastAsia="仿宋_GB2312"/>
          <w:sz w:val="32"/>
          <w:szCs w:val="32"/>
        </w:rPr>
      </w:pPr>
      <w:r>
        <w:rPr>
          <w:rFonts w:hint="eastAsia" w:ascii="仿宋_GB2312" w:eastAsia="仿宋_GB2312"/>
          <w:sz w:val="32"/>
          <w:szCs w:val="32"/>
        </w:rPr>
        <w:t>（二）项目绩效目标。包括总体目标和阶段性目标。</w:t>
      </w:r>
      <w:r>
        <w:rPr>
          <w:rFonts w:hint="eastAsia" w:ascii="仿宋" w:hAnsi="仿宋" w:eastAsia="仿宋"/>
          <w:sz w:val="32"/>
          <w:szCs w:val="32"/>
        </w:rPr>
        <w:t>利用各种有效载体开展宣传教育活动,效果明显;学习制度得到普遍落实，各项活动普遍参加;精神文明创建活动参与广泛，公民道德素质、各项活动满意率明显提高。评价标准具体为完成</w:t>
      </w:r>
      <w:r>
        <w:rPr>
          <w:rFonts w:ascii="仿宋" w:hAnsi="仿宋" w:eastAsia="仿宋"/>
          <w:sz w:val="32"/>
          <w:szCs w:val="32"/>
        </w:rPr>
        <w:t>90%</w:t>
      </w:r>
      <w:r>
        <w:rPr>
          <w:rFonts w:hint="eastAsia" w:ascii="仿宋" w:hAnsi="仿宋" w:eastAsia="仿宋"/>
          <w:sz w:val="32"/>
          <w:szCs w:val="32"/>
        </w:rPr>
        <w:t>以上为“优”、</w:t>
      </w:r>
      <w:r>
        <w:rPr>
          <w:rFonts w:ascii="仿宋" w:hAnsi="仿宋" w:eastAsia="仿宋"/>
          <w:sz w:val="32"/>
          <w:szCs w:val="32"/>
        </w:rPr>
        <w:t>80%</w:t>
      </w:r>
      <w:r>
        <w:rPr>
          <w:rFonts w:hint="eastAsia" w:ascii="仿宋" w:hAnsi="仿宋" w:eastAsia="仿宋"/>
          <w:sz w:val="32"/>
          <w:szCs w:val="32"/>
        </w:rPr>
        <w:t>为“良”、</w:t>
      </w:r>
      <w:r>
        <w:rPr>
          <w:rFonts w:ascii="仿宋" w:hAnsi="仿宋" w:eastAsia="仿宋"/>
          <w:sz w:val="32"/>
          <w:szCs w:val="32"/>
        </w:rPr>
        <w:t>70%</w:t>
      </w:r>
      <w:r>
        <w:rPr>
          <w:rFonts w:hint="eastAsia" w:ascii="仿宋" w:hAnsi="仿宋" w:eastAsia="仿宋"/>
          <w:sz w:val="32"/>
          <w:szCs w:val="32"/>
        </w:rPr>
        <w:t>为“中”、低于</w:t>
      </w:r>
      <w:r>
        <w:rPr>
          <w:rFonts w:ascii="仿宋" w:hAnsi="仿宋" w:eastAsia="仿宋"/>
          <w:sz w:val="32"/>
          <w:szCs w:val="32"/>
        </w:rPr>
        <w:t>60%</w:t>
      </w:r>
      <w:r>
        <w:rPr>
          <w:rFonts w:hint="eastAsia" w:ascii="仿宋" w:hAnsi="仿宋" w:eastAsia="仿宋"/>
          <w:sz w:val="32"/>
          <w:szCs w:val="32"/>
        </w:rPr>
        <w:t>为“差”。</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常务副书记</w:t>
      </w:r>
      <w:r>
        <w:rPr>
          <w:rFonts w:hint="eastAsia" w:ascii="仿宋_GB2312" w:eastAsia="仿宋_GB2312"/>
          <w:sz w:val="32"/>
          <w:szCs w:val="32"/>
        </w:rPr>
        <w:t>任组长，由</w:t>
      </w:r>
      <w:r>
        <w:rPr>
          <w:rFonts w:hint="eastAsia" w:ascii="仿宋_GB2312" w:eastAsia="仿宋_GB2312"/>
          <w:sz w:val="32"/>
          <w:szCs w:val="32"/>
          <w:lang w:val="en-US" w:eastAsia="zh-CN"/>
        </w:rPr>
        <w:t>主管副书记、</w:t>
      </w:r>
      <w:r>
        <w:rPr>
          <w:rFonts w:hint="eastAsia" w:ascii="仿宋_GB2312" w:eastAsia="仿宋_GB2312"/>
          <w:sz w:val="32"/>
          <w:szCs w:val="32"/>
        </w:rPr>
        <w:t>办公室主任共3人组成部门绩效评价小组，负责绩效评价具体工作。评价小组认真学习绩效评价相关文件以及我局项目评价指标、评价方法、评价标准等评价要素，为评价工作打下了坚实的理论基础。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pStyle w:val="4"/>
        <w:keepNext w:val="0"/>
        <w:keepLines w:val="0"/>
        <w:pageBreakBefore w:val="0"/>
        <w:widowControl/>
        <w:numPr>
          <w:ilvl w:val="0"/>
          <w:numId w:val="1"/>
        </w:numPr>
        <w:kinsoku/>
        <w:wordWrap w:val="0"/>
        <w:overflowPunct/>
        <w:topLinePunct w:val="0"/>
        <w:autoSpaceDE/>
        <w:autoSpaceDN/>
        <w:bidi w:val="0"/>
        <w:adjustRightInd/>
        <w:snapToGrid/>
        <w:spacing w:line="352" w:lineRule="atLeas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绩效评价目的、对象和范围。</w:t>
      </w:r>
    </w:p>
    <w:p>
      <w:pPr>
        <w:pStyle w:val="4"/>
        <w:keepNext w:val="0"/>
        <w:keepLines w:val="0"/>
        <w:pageBreakBefore w:val="0"/>
        <w:widowControl/>
        <w:numPr>
          <w:ilvl w:val="0"/>
          <w:numId w:val="0"/>
        </w:numPr>
        <w:kinsoku/>
        <w:wordWrap w:val="0"/>
        <w:overflowPunct/>
        <w:topLinePunct w:val="0"/>
        <w:autoSpaceDE/>
        <w:autoSpaceDN/>
        <w:bidi w:val="0"/>
        <w:adjustRightInd/>
        <w:snapToGrid/>
        <w:spacing w:line="352" w:lineRule="atLeast"/>
        <w:ind w:firstLine="640" w:firstLineChars="20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1、绩效监控目的</w:t>
      </w:r>
    </w:p>
    <w:p>
      <w:pPr>
        <w:pStyle w:val="4"/>
        <w:keepNext w:val="0"/>
        <w:keepLines w:val="0"/>
        <w:pageBreakBefore w:val="0"/>
        <w:widowControl/>
        <w:numPr>
          <w:ilvl w:val="0"/>
          <w:numId w:val="0"/>
        </w:numPr>
        <w:kinsoku/>
        <w:wordWrap w:val="0"/>
        <w:overflowPunct/>
        <w:topLinePunct w:val="0"/>
        <w:autoSpaceDE/>
        <w:autoSpaceDN/>
        <w:bidi w:val="0"/>
        <w:adjustRightInd/>
        <w:snapToGrid/>
        <w:spacing w:line="352" w:lineRule="atLeast"/>
        <w:ind w:firstLine="640" w:firstLineChars="20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绩效运行监控是全过程预算绩效管理的重要环节，也是提高财政资金使用效益的重要手段。通过运行监控，进一步强化预算支出责任，探索适合本单位实际情况的绩效运行监控管理机制。同时查找资金使用和管理以及项目执行过程中的薄弱环节，提出解决措施，促使单位加强项目管理，确保绩效目标的实现。</w:t>
      </w:r>
    </w:p>
    <w:p>
      <w:pPr>
        <w:pStyle w:val="4"/>
        <w:keepNext w:val="0"/>
        <w:keepLines w:val="0"/>
        <w:pageBreakBefore w:val="0"/>
        <w:widowControl/>
        <w:numPr>
          <w:ilvl w:val="0"/>
          <w:numId w:val="0"/>
        </w:numPr>
        <w:kinsoku/>
        <w:wordWrap w:val="0"/>
        <w:overflowPunct/>
        <w:topLinePunct w:val="0"/>
        <w:autoSpaceDE/>
        <w:autoSpaceDN/>
        <w:bidi w:val="0"/>
        <w:adjustRightInd/>
        <w:snapToGrid/>
        <w:spacing w:line="352" w:lineRule="atLeast"/>
        <w:ind w:firstLine="640" w:firstLineChars="20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2、绩效监控对象和范围</w:t>
      </w:r>
    </w:p>
    <w:p>
      <w:pPr>
        <w:pStyle w:val="4"/>
        <w:keepNext w:val="0"/>
        <w:keepLines w:val="0"/>
        <w:pageBreakBefore w:val="0"/>
        <w:widowControl/>
        <w:numPr>
          <w:ilvl w:val="0"/>
          <w:numId w:val="0"/>
        </w:numPr>
        <w:kinsoku/>
        <w:wordWrap w:val="0"/>
        <w:overflowPunct/>
        <w:topLinePunct w:val="0"/>
        <w:autoSpaceDE/>
        <w:autoSpaceDN/>
        <w:bidi w:val="0"/>
        <w:adjustRightInd/>
        <w:snapToGrid/>
        <w:spacing w:line="352" w:lineRule="atLeast"/>
        <w:ind w:firstLine="640" w:firstLineChars="200"/>
        <w:jc w:val="both"/>
        <w:textAlignment w:val="auto"/>
        <w:rPr>
          <w:rFonts w:ascii="仿宋_GB2312" w:eastAsia="仿宋_GB2312"/>
          <w:sz w:val="32"/>
          <w:szCs w:val="32"/>
        </w:rPr>
      </w:pPr>
      <w:r>
        <w:rPr>
          <w:rFonts w:hint="eastAsia" w:ascii="仿宋_GB2312" w:hAnsi="Times New Roman" w:eastAsia="仿宋_GB2312" w:cs="Times New Roman"/>
          <w:kern w:val="2"/>
          <w:sz w:val="32"/>
          <w:szCs w:val="32"/>
          <w:lang w:val="en-US" w:eastAsia="zh-CN" w:bidi="ar-SA"/>
        </w:rPr>
        <w:t>根据文件要求，绩效运行监控范围为预算单位2023年度部门预算项目支出开展绩效运行监控。</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5" w:beforeAutospacing="0" w:after="0" w:afterAutospacing="0" w:line="480" w:lineRule="atLeast"/>
        <w:ind w:left="0" w:right="0" w:firstLine="480"/>
        <w:jc w:val="both"/>
        <w:rPr>
          <w:rFonts w:hint="eastAsia" w:ascii="仿宋_GB2312" w:eastAsia="仿宋_GB2312"/>
          <w:sz w:val="32"/>
          <w:szCs w:val="32"/>
        </w:rPr>
      </w:pPr>
      <w:r>
        <w:rPr>
          <w:rFonts w:hint="eastAsia" w:ascii="仿宋_GB2312" w:eastAsia="仿宋_GB2312"/>
          <w:sz w:val="32"/>
          <w:szCs w:val="32"/>
        </w:rPr>
        <w:t>为了提高绩效运行监控工作质量和效率，成立了绩效运行监控工作小组，小组办公室设在财务室，全面负责本次绩效监控工作。组织项目实施股室学习文件，了解绩效运行监控工作流程，明确工作责任，工作小组将绩效运行监控工作进行分解，对绩效监控过程进行指导和监督。加强沟通配合，工作小组指导股室认真收集、整理相关资料，填写项目支出绩效目标执行监控表，要求对偏差原因进行分析说明，对绩效目标完成情况进行预计。按照“谁支出、谁监控”原则，组织项目实施科股室对照绩效目标，对所负责预算批复的项目绩效目标完成情况进行监控。</w:t>
      </w:r>
      <w:r>
        <w:rPr>
          <w:rFonts w:hint="eastAsia" w:ascii="仿宋" w:hAnsi="仿宋" w:eastAsia="仿宋"/>
          <w:sz w:val="32"/>
          <w:szCs w:val="32"/>
        </w:rPr>
        <w:t>查阅年度预算安排、预算追加、资金管理、经费支出等相关文件资料和财务凭证。对提供的材料及自评报告，结合现场评价情况进行综合分析、归纳汇总。最终，对各项评价指标进行综合评分确认，并形成初步报告，交由绩效评价工作领导小组进行审核。审核通过后，形成正式绩效评价报告</w:t>
      </w:r>
      <w:r>
        <w:rPr>
          <w:rFonts w:hint="eastAsia" w:ascii="仿宋" w:hAnsi="仿宋" w:eastAsia="仿宋"/>
          <w:sz w:val="32"/>
          <w:szCs w:val="32"/>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rPr>
        <w:t>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ascii="仿宋" w:hAnsi="仿宋" w:eastAsia="仿宋"/>
          <w:color w:val="000000"/>
          <w:kern w:val="0"/>
          <w:sz w:val="32"/>
          <w:szCs w:val="32"/>
        </w:rPr>
        <w:t>通过对</w:t>
      </w:r>
      <w:r>
        <w:rPr>
          <w:rFonts w:hint="eastAsia" w:ascii="仿宋" w:hAnsi="仿宋" w:eastAsia="仿宋"/>
          <w:color w:val="000000"/>
          <w:kern w:val="0"/>
          <w:sz w:val="32"/>
          <w:szCs w:val="32"/>
          <w:lang w:val="en-US" w:eastAsia="zh-CN"/>
        </w:rPr>
        <w:t>党组织活动经费项目</w:t>
      </w:r>
      <w:r>
        <w:rPr>
          <w:rFonts w:hint="eastAsia" w:ascii="仿宋" w:hAnsi="仿宋" w:eastAsia="仿宋"/>
          <w:color w:val="000000"/>
          <w:kern w:val="0"/>
          <w:sz w:val="32"/>
          <w:szCs w:val="32"/>
        </w:rPr>
        <w:t>绩效实施的具体情况进行自我评价，</w:t>
      </w:r>
      <w:r>
        <w:rPr>
          <w:rFonts w:hint="eastAsia" w:ascii="仿宋" w:hAnsi="仿宋" w:eastAsia="仿宋"/>
          <w:color w:val="000000"/>
          <w:kern w:val="0"/>
          <w:sz w:val="32"/>
          <w:szCs w:val="32"/>
          <w:lang w:val="en-US" w:eastAsia="zh-CN"/>
        </w:rPr>
        <w:t>机关工委2023</w:t>
      </w:r>
      <w:r>
        <w:rPr>
          <w:rFonts w:hint="eastAsia" w:ascii="仿宋" w:hAnsi="仿宋" w:eastAsia="仿宋"/>
          <w:color w:val="000000"/>
          <w:kern w:val="0"/>
          <w:sz w:val="32"/>
          <w:szCs w:val="32"/>
        </w:rPr>
        <w:t>年预算</w:t>
      </w:r>
      <w:r>
        <w:rPr>
          <w:rFonts w:hint="eastAsia" w:ascii="仿宋" w:hAnsi="仿宋" w:eastAsia="仿宋"/>
          <w:color w:val="000000"/>
          <w:kern w:val="0"/>
          <w:sz w:val="32"/>
          <w:szCs w:val="32"/>
          <w:lang w:val="en-US" w:eastAsia="zh-CN"/>
        </w:rPr>
        <w:t>项目</w:t>
      </w:r>
      <w:r>
        <w:rPr>
          <w:rFonts w:hint="eastAsia" w:ascii="仿宋" w:hAnsi="仿宋" w:eastAsia="仿宋"/>
          <w:color w:val="000000"/>
          <w:kern w:val="0"/>
          <w:sz w:val="32"/>
          <w:szCs w:val="32"/>
        </w:rPr>
        <w:t>编制科学，预算执行</w:t>
      </w:r>
      <w:r>
        <w:rPr>
          <w:rFonts w:hint="eastAsia" w:ascii="仿宋" w:hAnsi="仿宋" w:eastAsia="仿宋"/>
          <w:color w:val="000000"/>
          <w:kern w:val="0"/>
          <w:sz w:val="32"/>
          <w:szCs w:val="32"/>
          <w:lang w:val="en-US" w:eastAsia="zh-CN"/>
        </w:rPr>
        <w:t>良好</w:t>
      </w:r>
      <w:r>
        <w:rPr>
          <w:rFonts w:hint="eastAsia" w:ascii="仿宋" w:hAnsi="仿宋" w:eastAsia="仿宋"/>
          <w:color w:val="000000"/>
          <w:kern w:val="0"/>
          <w:sz w:val="32"/>
          <w:szCs w:val="32"/>
        </w:rPr>
        <w:t>，安排支出合理，节约了资金，保证了全年工作任务的完成。经认真研究得出</w:t>
      </w:r>
      <w:r>
        <w:rPr>
          <w:rFonts w:hint="eastAsia" w:ascii="仿宋" w:hAnsi="仿宋" w:eastAsia="仿宋"/>
          <w:color w:val="000000"/>
          <w:kern w:val="0"/>
          <w:sz w:val="32"/>
          <w:szCs w:val="32"/>
          <w:lang w:val="en-US" w:eastAsia="zh-CN"/>
        </w:rPr>
        <w:t>党组织活动经费项目</w:t>
      </w:r>
      <w:r>
        <w:rPr>
          <w:rFonts w:hint="eastAsia" w:ascii="仿宋" w:hAnsi="仿宋" w:eastAsia="仿宋"/>
          <w:color w:val="000000"/>
          <w:kern w:val="0"/>
          <w:sz w:val="32"/>
          <w:szCs w:val="32"/>
        </w:rPr>
        <w:t>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 w:hAnsi="仿宋" w:eastAsia="仿宋"/>
          <w:sz w:val="30"/>
          <w:szCs w:val="32"/>
          <w:lang w:val="en-US" w:eastAsia="zh-CN"/>
        </w:rPr>
      </w:pPr>
      <w:r>
        <w:rPr>
          <w:rFonts w:ascii="仿宋_GB2312" w:eastAsia="仿宋_GB2312"/>
          <w:sz w:val="32"/>
          <w:szCs w:val="32"/>
        </w:rPr>
        <w:t>依据</w:t>
      </w:r>
      <w:r>
        <w:rPr>
          <w:rFonts w:hint="eastAsia" w:ascii="仿宋_GB2312" w:eastAsia="仿宋_GB2312"/>
          <w:sz w:val="32"/>
          <w:szCs w:val="32"/>
          <w:lang w:eastAsia="zh-CN"/>
        </w:rPr>
        <w:t>《中国共产党党和国家机关基层组织工作条例》、《</w:t>
      </w:r>
      <w:r>
        <w:rPr>
          <w:rFonts w:hint="eastAsia" w:ascii="仿宋_GB2312" w:eastAsia="仿宋_GB2312"/>
          <w:sz w:val="32"/>
          <w:szCs w:val="32"/>
        </w:rPr>
        <w:t>中共河北省委关于贯彻</w:t>
      </w:r>
      <w:r>
        <w:rPr>
          <w:rFonts w:hint="eastAsia" w:ascii="仿宋_GB2312" w:eastAsia="仿宋_GB2312"/>
          <w:sz w:val="32"/>
          <w:szCs w:val="32"/>
          <w:lang w:val="en-US" w:eastAsia="zh-CN"/>
        </w:rPr>
        <w:t>&lt;</w:t>
      </w:r>
      <w:r>
        <w:rPr>
          <w:rFonts w:hint="eastAsia" w:ascii="仿宋_GB2312" w:eastAsia="仿宋_GB2312"/>
          <w:sz w:val="32"/>
          <w:szCs w:val="32"/>
        </w:rPr>
        <w:t>中国共产党党和国家机关基层组织工作条例</w:t>
      </w:r>
      <w:r>
        <w:rPr>
          <w:rFonts w:hint="eastAsia" w:ascii="仿宋_GB2312" w:eastAsia="仿宋_GB2312"/>
          <w:sz w:val="32"/>
          <w:szCs w:val="32"/>
          <w:lang w:val="en-US" w:eastAsia="zh-CN"/>
        </w:rPr>
        <w:t>&gt;</w:t>
      </w:r>
      <w:r>
        <w:rPr>
          <w:rFonts w:hint="eastAsia" w:ascii="仿宋_GB2312" w:eastAsia="仿宋_GB2312"/>
          <w:sz w:val="32"/>
          <w:szCs w:val="32"/>
        </w:rPr>
        <w:t>的实施办法</w:t>
      </w:r>
      <w:r>
        <w:rPr>
          <w:rFonts w:hint="eastAsia" w:ascii="仿宋_GB2312" w:eastAsia="仿宋_GB2312"/>
          <w:sz w:val="32"/>
          <w:szCs w:val="32"/>
          <w:lang w:eastAsia="zh-CN"/>
        </w:rPr>
        <w:t>》</w:t>
      </w:r>
      <w:r>
        <w:rPr>
          <w:rFonts w:hint="eastAsia" w:ascii="仿宋_GB2312" w:eastAsia="仿宋_GB2312"/>
          <w:sz w:val="32"/>
          <w:szCs w:val="32"/>
          <w:lang w:val="en-US" w:eastAsia="zh-CN"/>
        </w:rPr>
        <w:t>和《中共唐山市委关于贯彻&lt;中国共产党党和国家机关基层组织工作条例&gt;的实施细则》有关规定，</w:t>
      </w:r>
      <w:r>
        <w:rPr>
          <w:rFonts w:hint="eastAsia" w:ascii="仿宋" w:hAnsi="仿宋" w:eastAsia="仿宋"/>
          <w:sz w:val="30"/>
          <w:szCs w:val="32"/>
        </w:rPr>
        <w:t>党组织活动经费，列入</w:t>
      </w:r>
      <w:r>
        <w:rPr>
          <w:rFonts w:hint="eastAsia" w:ascii="仿宋" w:hAnsi="仿宋" w:eastAsia="仿宋"/>
          <w:sz w:val="30"/>
          <w:szCs w:val="32"/>
          <w:lang w:val="en-US" w:eastAsia="zh-CN"/>
        </w:rPr>
        <w:t>县</w:t>
      </w:r>
      <w:r>
        <w:rPr>
          <w:rFonts w:hint="eastAsia" w:ascii="仿宋" w:hAnsi="仿宋" w:eastAsia="仿宋"/>
          <w:sz w:val="30"/>
          <w:szCs w:val="32"/>
        </w:rPr>
        <w:t>级财政预算，独立设立科目，有</w:t>
      </w:r>
      <w:r>
        <w:rPr>
          <w:rFonts w:hint="eastAsia" w:ascii="仿宋" w:hAnsi="仿宋" w:eastAsia="仿宋"/>
          <w:sz w:val="30"/>
          <w:szCs w:val="32"/>
          <w:lang w:val="en-US" w:eastAsia="zh-CN"/>
        </w:rPr>
        <w:t>关</w:t>
      </w:r>
      <w:r>
        <w:rPr>
          <w:rFonts w:hint="eastAsia" w:ascii="仿宋" w:hAnsi="仿宋" w:eastAsia="仿宋"/>
          <w:sz w:val="30"/>
          <w:szCs w:val="32"/>
        </w:rPr>
        <w:t>机关基层党组织统筹安排使用</w:t>
      </w:r>
      <w:r>
        <w:rPr>
          <w:rFonts w:hint="eastAsia" w:ascii="仿宋" w:hAnsi="仿宋" w:eastAsia="仿宋"/>
          <w:sz w:val="30"/>
          <w:szCs w:val="32"/>
          <w:lang w:eastAsia="zh-CN"/>
        </w:rPr>
        <w:t>。</w:t>
      </w:r>
      <w:r>
        <w:rPr>
          <w:rFonts w:hint="eastAsia" w:ascii="仿宋" w:hAnsi="仿宋" w:eastAsia="仿宋"/>
          <w:sz w:val="30"/>
          <w:szCs w:val="32"/>
          <w:lang w:val="en-US" w:eastAsia="zh-CN"/>
        </w:rPr>
        <w:t>2023年县财政局批复我单位党组织活动经费为3.5万元。</w:t>
      </w:r>
    </w:p>
    <w:p>
      <w:pPr>
        <w:numPr>
          <w:ilvl w:val="0"/>
          <w:numId w:val="3"/>
        </w:numPr>
        <w:adjustRightInd w:val="0"/>
        <w:snapToGrid w:val="0"/>
        <w:spacing w:line="600" w:lineRule="exact"/>
        <w:ind w:left="-10" w:leftChars="0" w:firstLine="640" w:firstLineChars="0"/>
        <w:rPr>
          <w:rFonts w:hint="eastAsia" w:ascii="仿宋_GB2312" w:eastAsia="仿宋_GB2312"/>
          <w:sz w:val="32"/>
          <w:szCs w:val="32"/>
        </w:rPr>
      </w:pPr>
      <w:r>
        <w:rPr>
          <w:rFonts w:hint="eastAsia" w:ascii="仿宋_GB2312" w:eastAsia="仿宋_GB2312"/>
          <w:sz w:val="32"/>
          <w:szCs w:val="32"/>
        </w:rPr>
        <w:t>项目过程情况。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00" w:firstLineChars="200"/>
        <w:textAlignment w:val="auto"/>
        <w:rPr>
          <w:rFonts w:hint="eastAsia" w:ascii="仿宋_GB2312" w:eastAsia="仿宋_GB2312"/>
          <w:sz w:val="32"/>
          <w:szCs w:val="32"/>
          <w:lang w:eastAsia="zh-CN"/>
        </w:rPr>
      </w:pPr>
      <w:r>
        <w:rPr>
          <w:rFonts w:hint="eastAsia" w:ascii="仿宋" w:hAnsi="仿宋" w:eastAsia="仿宋" w:cs="Times New Roman"/>
          <w:kern w:val="2"/>
          <w:sz w:val="30"/>
          <w:szCs w:val="32"/>
          <w:lang w:val="en-US" w:eastAsia="zh-CN" w:bidi="ar-SA"/>
        </w:rPr>
        <w:t>党组织活动经费项目预算为3.5万元，项目资金到位率为100%。</w:t>
      </w:r>
      <w:r>
        <w:rPr>
          <w:rFonts w:hint="eastAsia" w:ascii="仿宋" w:hAnsi="仿宋" w:eastAsia="仿宋"/>
          <w:color w:val="000000"/>
          <w:kern w:val="0"/>
          <w:sz w:val="32"/>
          <w:szCs w:val="32"/>
        </w:rPr>
        <w:t>根据年初制定</w:t>
      </w:r>
      <w:r>
        <w:rPr>
          <w:rFonts w:hint="eastAsia" w:ascii="仿宋" w:hAnsi="仿宋" w:eastAsia="仿宋"/>
          <w:color w:val="000000"/>
          <w:kern w:val="0"/>
          <w:sz w:val="32"/>
          <w:szCs w:val="32"/>
          <w:lang w:val="en-US" w:eastAsia="zh-CN"/>
        </w:rPr>
        <w:t>的项目</w:t>
      </w:r>
      <w:r>
        <w:rPr>
          <w:rFonts w:hint="eastAsia" w:ascii="仿宋" w:hAnsi="仿宋" w:eastAsia="仿宋"/>
          <w:color w:val="000000"/>
          <w:kern w:val="0"/>
          <w:sz w:val="32"/>
          <w:szCs w:val="32"/>
        </w:rPr>
        <w:t>绩效目标，</w:t>
      </w:r>
      <w:r>
        <w:rPr>
          <w:rFonts w:hint="eastAsia" w:ascii="仿宋" w:hAnsi="仿宋" w:eastAsia="仿宋"/>
          <w:color w:val="000000"/>
          <w:kern w:val="0"/>
          <w:sz w:val="32"/>
          <w:szCs w:val="32"/>
          <w:lang w:val="en-US" w:eastAsia="zh-CN"/>
        </w:rPr>
        <w:t>对全年的党组织活动计划</w:t>
      </w:r>
      <w:r>
        <w:rPr>
          <w:rFonts w:hint="eastAsia" w:ascii="仿宋" w:hAnsi="仿宋" w:eastAsia="仿宋"/>
          <w:color w:val="000000"/>
          <w:kern w:val="0"/>
          <w:sz w:val="32"/>
          <w:szCs w:val="32"/>
        </w:rPr>
        <w:t>进行了任务分解。严格按照既定方案和计划组织实施，确保专款专用。严格遵守各项规章制度，按计划开展</w:t>
      </w:r>
      <w:r>
        <w:rPr>
          <w:rFonts w:hint="eastAsia" w:ascii="仿宋" w:hAnsi="仿宋" w:eastAsia="仿宋"/>
          <w:color w:val="000000"/>
          <w:kern w:val="0"/>
          <w:sz w:val="32"/>
          <w:szCs w:val="32"/>
          <w:lang w:val="en-US" w:eastAsia="zh-CN"/>
        </w:rPr>
        <w:t>党组织活动，及时组织开展成效验收评估，确保党组织活动开展到哪里，项目资金就跟进到哪里</w:t>
      </w:r>
      <w:r>
        <w:rPr>
          <w:rFonts w:hint="eastAsia" w:ascii="仿宋" w:hAnsi="仿宋" w:eastAsia="仿宋"/>
          <w:color w:val="000000"/>
          <w:kern w:val="0"/>
          <w:sz w:val="32"/>
          <w:szCs w:val="32"/>
          <w:lang w:eastAsia="zh-CN"/>
        </w:rPr>
        <w:t>。</w:t>
      </w:r>
    </w:p>
    <w:p>
      <w:pPr>
        <w:numPr>
          <w:ilvl w:val="0"/>
          <w:numId w:val="3"/>
        </w:numPr>
        <w:spacing w:line="600" w:lineRule="exact"/>
        <w:ind w:left="-10" w:leftChars="0" w:firstLine="640" w:firstLineChars="0"/>
        <w:outlineLvl w:val="0"/>
        <w:rPr>
          <w:rFonts w:hint="eastAsia" w:ascii="仿宋_GB2312" w:eastAsia="仿宋_GB2312"/>
          <w:sz w:val="32"/>
          <w:szCs w:val="32"/>
        </w:rPr>
      </w:pPr>
      <w:r>
        <w:rPr>
          <w:rFonts w:hint="eastAsia" w:ascii="仿宋_GB2312" w:eastAsia="仿宋_GB2312"/>
          <w:sz w:val="32"/>
          <w:szCs w:val="32"/>
        </w:rPr>
        <w:t>项目产出情况。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olor w:val="000000"/>
          <w:kern w:val="0"/>
          <w:sz w:val="32"/>
          <w:szCs w:val="32"/>
          <w:lang w:eastAsia="zh-CN"/>
        </w:rPr>
      </w:pPr>
      <w:r>
        <w:rPr>
          <w:rFonts w:hint="eastAsia" w:ascii="仿宋" w:hAnsi="仿宋" w:eastAsia="仿宋"/>
          <w:color w:val="000000"/>
          <w:kern w:val="0"/>
          <w:sz w:val="32"/>
          <w:szCs w:val="32"/>
          <w:lang w:val="en-US" w:eastAsia="zh-CN"/>
        </w:rPr>
        <w:t>1、</w:t>
      </w:r>
      <w:r>
        <w:rPr>
          <w:rFonts w:hint="eastAsia" w:ascii="仿宋" w:hAnsi="仿宋" w:eastAsia="仿宋"/>
          <w:color w:val="000000"/>
          <w:kern w:val="0"/>
          <w:sz w:val="32"/>
          <w:szCs w:val="32"/>
          <w:lang w:eastAsia="zh-CN"/>
        </w:rPr>
        <w:t>以深入学习贯彻习近平新时代中国特色主题教育活动为抓手，努力推升基层支部党建工作水平。将党的二十大精神、党章、习近平新时代中国特色社会主义思想学习作为党组（党委）理论学习中心组和“三会一课”、主题党日等党的组织生活以及党员教育培训、党务干部培训的重点内容。强化理论中心组学习，健全工委理论中心组集中学习制度，举办理论中心组学习11次，组织各类交流研讨4次。</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olor w:val="000000"/>
          <w:kern w:val="0"/>
          <w:sz w:val="32"/>
          <w:szCs w:val="32"/>
          <w:lang w:eastAsia="zh-CN"/>
        </w:rPr>
      </w:pPr>
      <w:r>
        <w:rPr>
          <w:rFonts w:hint="eastAsia" w:ascii="仿宋" w:hAnsi="仿宋" w:eastAsia="仿宋"/>
          <w:color w:val="000000"/>
          <w:kern w:val="0"/>
          <w:sz w:val="32"/>
          <w:szCs w:val="32"/>
          <w:lang w:val="en-US" w:eastAsia="zh-CN"/>
        </w:rPr>
        <w:t>2、</w:t>
      </w:r>
      <w:r>
        <w:rPr>
          <w:rFonts w:hint="eastAsia" w:ascii="仿宋" w:hAnsi="仿宋" w:eastAsia="仿宋"/>
          <w:color w:val="000000"/>
          <w:kern w:val="0"/>
          <w:sz w:val="32"/>
          <w:szCs w:val="32"/>
          <w:lang w:eastAsia="zh-CN"/>
        </w:rPr>
        <w:t>完善党员发展机制，严把党员入口关。截止目前共有新增入党申请人45人，正在培养积极分子68人，预计年内新吸收预备党员7名、预备党员转正31名。</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olor w:val="000000"/>
          <w:kern w:val="0"/>
          <w:sz w:val="32"/>
          <w:szCs w:val="32"/>
          <w:lang w:eastAsia="zh-CN"/>
        </w:rPr>
      </w:pPr>
      <w:r>
        <w:rPr>
          <w:rFonts w:hint="eastAsia" w:ascii="仿宋" w:hAnsi="仿宋" w:eastAsia="仿宋"/>
          <w:color w:val="000000"/>
          <w:kern w:val="0"/>
          <w:sz w:val="32"/>
          <w:szCs w:val="32"/>
          <w:lang w:val="en-US" w:eastAsia="zh-CN"/>
        </w:rPr>
        <w:t>3、</w:t>
      </w:r>
      <w:r>
        <w:rPr>
          <w:rFonts w:hint="eastAsia" w:ascii="仿宋" w:hAnsi="仿宋" w:eastAsia="仿宋"/>
          <w:color w:val="000000"/>
          <w:kern w:val="0"/>
          <w:sz w:val="32"/>
          <w:szCs w:val="32"/>
          <w:lang w:eastAsia="zh-CN"/>
        </w:rPr>
        <w:t>扎实推进基层组织创A和县级党建示范点创建工作。工委系统精心谋划、积极推进，坚持以点带面、示范引领，首批检察院、医保局等8家单位已高标准完成A档创建工作并通过县级验收，23家县级党建示范点全面提升阵地硬件建设标准，规范佐证文件整理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olor w:val="000000"/>
          <w:kern w:val="0"/>
          <w:sz w:val="32"/>
          <w:szCs w:val="32"/>
          <w:lang w:eastAsia="zh-CN"/>
        </w:rPr>
      </w:pPr>
      <w:r>
        <w:rPr>
          <w:rFonts w:hint="eastAsia" w:ascii="仿宋" w:hAnsi="仿宋" w:eastAsia="仿宋"/>
          <w:color w:val="000000"/>
          <w:kern w:val="0"/>
          <w:sz w:val="32"/>
          <w:szCs w:val="32"/>
          <w:lang w:val="en-US" w:eastAsia="zh-CN"/>
        </w:rPr>
        <w:t>4、</w:t>
      </w:r>
      <w:r>
        <w:rPr>
          <w:rFonts w:hint="eastAsia" w:ascii="仿宋" w:hAnsi="仿宋" w:eastAsia="仿宋"/>
          <w:color w:val="000000"/>
          <w:kern w:val="0"/>
          <w:sz w:val="32"/>
          <w:szCs w:val="32"/>
          <w:lang w:eastAsia="zh-CN"/>
        </w:rPr>
        <w:t>抓好县直机关精神文明建设，为创建文明县城保驾护航。按照志愿服务工作安排，系统内45家单位组织开展志愿服务活动100余次，活动覆盖二十大精神宣讲、垃圾分类宣传、环境整治、普法宣传、基层组织创A政策宣讲等多个领域。</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textAlignment w:val="auto"/>
        <w:outlineLvl w:val="0"/>
        <w:rPr>
          <w:rFonts w:hint="eastAsia" w:ascii="仿宋_GB2312" w:eastAsia="仿宋_GB2312"/>
          <w:sz w:val="32"/>
          <w:szCs w:val="32"/>
        </w:rPr>
      </w:pPr>
      <w:r>
        <w:rPr>
          <w:rFonts w:hint="eastAsia" w:ascii="仿宋_GB2312" w:eastAsia="仿宋_GB2312"/>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olor w:val="000000"/>
          <w:kern w:val="0"/>
          <w:sz w:val="32"/>
          <w:szCs w:val="32"/>
          <w:lang w:eastAsia="zh-CN"/>
        </w:rPr>
      </w:pPr>
      <w:r>
        <w:rPr>
          <w:rFonts w:hint="eastAsia" w:ascii="仿宋" w:hAnsi="仿宋" w:eastAsia="仿宋"/>
          <w:color w:val="000000"/>
          <w:kern w:val="0"/>
          <w:sz w:val="32"/>
          <w:szCs w:val="32"/>
          <w:lang w:val="en-US" w:eastAsia="zh-CN"/>
        </w:rPr>
        <w:t>1、</w:t>
      </w:r>
      <w:r>
        <w:rPr>
          <w:rFonts w:hint="eastAsia" w:ascii="仿宋" w:hAnsi="仿宋" w:eastAsia="仿宋"/>
          <w:color w:val="000000"/>
          <w:kern w:val="0"/>
          <w:sz w:val="32"/>
          <w:szCs w:val="32"/>
          <w:lang w:eastAsia="zh-CN"/>
        </w:rPr>
        <w:t>通过理论中心组专题学习研讨、“三会一课”和“5+X”主题党日等组织工委机关党员干部重点学习，组织集中宣讲和县直党组织书记讲专题党课，开展习近平新时代中国特色社会主义思想进机关活动。积极参加各类组织培训，努力提升政治素质。今年以来按照县委组织部、县委宣传部的要求，先后多次参加由省市委组织的各类培训班，确保每名干部的学习培训时间都达到上级要求，有力提高了工委系统全体党员干部的政治业务素质。</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olor w:val="000000"/>
          <w:kern w:val="0"/>
          <w:sz w:val="32"/>
          <w:szCs w:val="32"/>
          <w:lang w:eastAsia="zh-CN"/>
        </w:rPr>
      </w:pPr>
      <w:r>
        <w:rPr>
          <w:rFonts w:hint="eastAsia" w:ascii="仿宋" w:hAnsi="仿宋" w:eastAsia="仿宋"/>
          <w:color w:val="000000"/>
          <w:kern w:val="0"/>
          <w:sz w:val="32"/>
          <w:szCs w:val="32"/>
          <w:lang w:val="en-US" w:eastAsia="zh-CN"/>
        </w:rPr>
        <w:t>2、</w:t>
      </w:r>
      <w:r>
        <w:rPr>
          <w:rFonts w:hint="eastAsia" w:ascii="仿宋" w:hAnsi="仿宋" w:eastAsia="仿宋"/>
          <w:color w:val="000000"/>
          <w:kern w:val="0"/>
          <w:sz w:val="32"/>
          <w:szCs w:val="32"/>
          <w:lang w:eastAsia="zh-CN"/>
        </w:rPr>
        <w:t>不断提高发展党员工作的质量，确保党员发展工作严谨、规范、民主，真正把素质精良、作风过硬的积极分子列入党员发展对象。对基层支部发展党员各个阶段的工作，做到严格把关分类指导，确保发展党员工作保质保量。</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olor w:val="000000"/>
          <w:kern w:val="0"/>
          <w:sz w:val="32"/>
          <w:szCs w:val="32"/>
          <w:lang w:eastAsia="zh-CN"/>
        </w:rPr>
      </w:pPr>
      <w:r>
        <w:rPr>
          <w:rFonts w:hint="eastAsia" w:ascii="仿宋" w:hAnsi="仿宋" w:eastAsia="仿宋"/>
          <w:color w:val="000000"/>
          <w:kern w:val="0"/>
          <w:sz w:val="32"/>
          <w:szCs w:val="32"/>
          <w:lang w:val="en-US" w:eastAsia="zh-CN"/>
        </w:rPr>
        <w:t>3、</w:t>
      </w:r>
      <w:r>
        <w:rPr>
          <w:rFonts w:hint="eastAsia" w:ascii="仿宋" w:hAnsi="仿宋" w:eastAsia="仿宋"/>
          <w:color w:val="000000"/>
          <w:kern w:val="0"/>
          <w:sz w:val="32"/>
          <w:szCs w:val="32"/>
          <w:lang w:eastAsia="zh-CN"/>
        </w:rPr>
        <w:t>基层党组织创A工作是深化拓展基层党建示范引领三年行动的有力措施，是统筹推进示范点创建和软弱涣散党组织整顿的重要抓手，依托党建与业务工作的深度融合，促进全系统形成了抓党建促业务，围绕中心服务大局的良好局面。</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olor w:val="000000"/>
          <w:kern w:val="0"/>
          <w:sz w:val="32"/>
          <w:szCs w:val="32"/>
          <w:lang w:eastAsia="zh-CN"/>
        </w:rPr>
      </w:pPr>
      <w:r>
        <w:rPr>
          <w:rFonts w:hint="eastAsia" w:ascii="仿宋" w:hAnsi="仿宋" w:eastAsia="仿宋"/>
          <w:color w:val="000000"/>
          <w:kern w:val="0"/>
          <w:sz w:val="32"/>
          <w:szCs w:val="32"/>
          <w:lang w:val="en-US" w:eastAsia="zh-CN"/>
        </w:rPr>
        <w:t>4、</w:t>
      </w:r>
      <w:r>
        <w:rPr>
          <w:rFonts w:hint="eastAsia" w:ascii="仿宋" w:hAnsi="仿宋" w:eastAsia="仿宋"/>
          <w:color w:val="000000"/>
          <w:kern w:val="0"/>
          <w:sz w:val="32"/>
          <w:szCs w:val="32"/>
          <w:lang w:eastAsia="zh-CN"/>
        </w:rPr>
        <w:t>按照玉田县2023年创建省级文明城的要求，系统内各责任单位认真负责，不断提高为群众服务的质量和水平，为创建文明城贡献力量。</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hint="eastAsia" w:eastAsia="黑体"/>
          <w:sz w:val="32"/>
          <w:szCs w:val="32"/>
        </w:rPr>
      </w:pPr>
      <w:r>
        <w:rPr>
          <w:rFonts w:hint="eastAsia" w:eastAsia="黑体"/>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olor w:val="000000"/>
          <w:kern w:val="0"/>
          <w:sz w:val="32"/>
          <w:szCs w:val="32"/>
        </w:rPr>
      </w:pP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lang w:val="en-US" w:eastAsia="zh-CN"/>
        </w:rPr>
        <w:t>一</w:t>
      </w: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lang w:val="en-US" w:eastAsia="zh-CN"/>
        </w:rPr>
        <w:t>主要经营及做法。</w:t>
      </w:r>
      <w:r>
        <w:rPr>
          <w:rFonts w:hint="eastAsia" w:ascii="仿宋" w:hAnsi="仿宋" w:eastAsia="仿宋"/>
          <w:color w:val="000000"/>
          <w:kern w:val="0"/>
          <w:sz w:val="32"/>
          <w:szCs w:val="32"/>
        </w:rPr>
        <w:t>绩效运行监控应按照文件中规定的工作流程进行，对照制定的绩效目标，据实收集各项目绩效监控信息，在收集的基础上，对偏离绩效目标的原因进行分析，对全年绩效目标完成情况进行预计，并对预计年底不能完成目标的原因及拟采取的改进措施做出说明，将上述情况填报至绩效监控情况表中，做到内容完整、数据真实、客观公正。将绩效运行监控同预算执行进度一起进行“双监控”，发现问题及时纠正，确保绩效目标如期保质保量实现，在监控过程中，努力探索适合本单位实际情况的监控管理机制，提高资金运行效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lang w:val="en-US" w:eastAsia="zh-CN"/>
        </w:rPr>
        <w:t>二</w:t>
      </w: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rPr>
        <w:t>存在的问题及原因分析</w:t>
      </w: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lang w:val="en-US" w:eastAsia="zh-CN"/>
        </w:rPr>
        <w:t>一是</w:t>
      </w:r>
      <w:r>
        <w:rPr>
          <w:rFonts w:hint="eastAsia" w:ascii="仿宋" w:hAnsi="仿宋" w:eastAsia="仿宋"/>
          <w:color w:val="000000"/>
          <w:kern w:val="0"/>
          <w:sz w:val="32"/>
          <w:szCs w:val="32"/>
        </w:rPr>
        <w:t>对于绩效运行监控的认识不够深入，把项目支出绩效简单等同于工作目标、工作考核和业务管理。</w:t>
      </w:r>
      <w:r>
        <w:rPr>
          <w:rFonts w:hint="eastAsia" w:ascii="仿宋" w:hAnsi="仿宋" w:eastAsia="仿宋"/>
          <w:color w:val="000000"/>
          <w:kern w:val="0"/>
          <w:sz w:val="32"/>
          <w:szCs w:val="32"/>
          <w:lang w:val="en-US" w:eastAsia="zh-CN"/>
        </w:rPr>
        <w:t>二是</w:t>
      </w:r>
      <w:r>
        <w:rPr>
          <w:rFonts w:hint="eastAsia" w:ascii="仿宋" w:hAnsi="仿宋" w:eastAsia="仿宋"/>
          <w:color w:val="000000"/>
          <w:kern w:val="0"/>
          <w:sz w:val="32"/>
          <w:szCs w:val="32"/>
        </w:rPr>
        <w:t>绩效目标和指标往往根据项目实际完成情况制定，对项目执行过程有效约束不够，存在一定的偏差。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rPr>
        <w:t>六、有关建议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olor w:val="000000"/>
          <w:kern w:val="0"/>
          <w:sz w:val="32"/>
          <w:szCs w:val="32"/>
        </w:rPr>
      </w:pPr>
      <w:r>
        <w:rPr>
          <w:rFonts w:hint="eastAsia" w:ascii="仿宋" w:hAnsi="仿宋" w:eastAsia="仿宋"/>
          <w:color w:val="000000"/>
          <w:kern w:val="0"/>
          <w:sz w:val="32"/>
          <w:szCs w:val="32"/>
        </w:rPr>
        <w:t>（一）加强绩效运行监控管理制度和流程建设，进一步深化、完善绩效管理体系，建立全过程的预算绩效管理机制，促进绩效管理工作向广度和深度延伸。</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ascii="仿宋" w:hAnsi="仿宋" w:eastAsia="仿宋"/>
          <w:color w:val="000000"/>
          <w:kern w:val="0"/>
          <w:sz w:val="32"/>
          <w:szCs w:val="32"/>
        </w:rPr>
        <w:t>（二）规范绩效运行监控资料的收集整理，确保相关信息完整、可靠，客观公正地反映项目资金实际使用和产生的绩效状况，为今后该项目实施方向及管理方式的改进提供指导。</w:t>
      </w:r>
    </w:p>
    <w:p>
      <w:pPr>
        <w:spacing w:line="600" w:lineRule="exact"/>
        <w:ind w:firstLine="640" w:firstLineChars="200"/>
        <w:rPr>
          <w:rFonts w:eastAsia="黑体"/>
          <w:sz w:val="32"/>
          <w:szCs w:val="32"/>
        </w:rPr>
      </w:pPr>
      <w:r>
        <w:rPr>
          <w:rFonts w:hint="eastAsia" w:eastAsia="黑体"/>
          <w:sz w:val="32"/>
          <w:szCs w:val="32"/>
        </w:rPr>
        <w:t>七、其他需要说明的问题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olor w:val="000000"/>
          <w:kern w:val="0"/>
          <w:sz w:val="32"/>
          <w:szCs w:val="32"/>
          <w:lang w:val="en-US" w:eastAsia="zh-CN"/>
        </w:rPr>
      </w:pPr>
      <w:r>
        <w:rPr>
          <w:rFonts w:hint="eastAsia" w:ascii="仿宋" w:hAnsi="仿宋" w:eastAsia="仿宋"/>
          <w:color w:val="000000"/>
          <w:kern w:val="0"/>
          <w:sz w:val="32"/>
          <w:szCs w:val="32"/>
          <w:lang w:val="en-US" w:eastAsia="zh-CN"/>
        </w:rPr>
        <w:t>无</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64D1C"/>
    <w:multiLevelType w:val="singleLevel"/>
    <w:tmpl w:val="0EE64D1C"/>
    <w:lvl w:ilvl="0" w:tentative="0">
      <w:start w:val="3"/>
      <w:numFmt w:val="chineseCounting"/>
      <w:suff w:val="nothing"/>
      <w:lvlText w:val="%1、"/>
      <w:lvlJc w:val="left"/>
      <w:rPr>
        <w:rFonts w:hint="eastAsia"/>
      </w:rPr>
    </w:lvl>
  </w:abstractNum>
  <w:abstractNum w:abstractNumId="1">
    <w:nsid w:val="2CB47761"/>
    <w:multiLevelType w:val="singleLevel"/>
    <w:tmpl w:val="2CB47761"/>
    <w:lvl w:ilvl="0" w:tentative="0">
      <w:start w:val="2"/>
      <w:numFmt w:val="chineseCounting"/>
      <w:suff w:val="nothing"/>
      <w:lvlText w:val="（%1）"/>
      <w:lvlJc w:val="left"/>
      <w:pPr>
        <w:ind w:left="-10"/>
      </w:pPr>
      <w:rPr>
        <w:rFonts w:hint="eastAsia"/>
      </w:rPr>
    </w:lvl>
  </w:abstractNum>
  <w:abstractNum w:abstractNumId="2">
    <w:nsid w:val="3ADDF8C6"/>
    <w:multiLevelType w:val="singleLevel"/>
    <w:tmpl w:val="3ADDF8C6"/>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2674BD9"/>
    <w:rsid w:val="20A53BC9"/>
    <w:rsid w:val="23522EC6"/>
    <w:rsid w:val="3211673A"/>
    <w:rsid w:val="3EF56711"/>
    <w:rsid w:val="44787793"/>
    <w:rsid w:val="4595474B"/>
    <w:rsid w:val="49D67DF9"/>
    <w:rsid w:val="51D879E2"/>
    <w:rsid w:val="5F3B76B1"/>
    <w:rsid w:val="634D3C76"/>
    <w:rsid w:val="63AF0C61"/>
    <w:rsid w:val="64774163"/>
    <w:rsid w:val="6ACC7435"/>
    <w:rsid w:val="766159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99"/>
    <w:pPr>
      <w:widowControl/>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2024-04-18T06:23:23Z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823DD93419CC4EB4A84974DCB3954609</vt:lpwstr>
  </property>
</Properties>
</file>