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eastAsia="宋体"/>
          <w:sz w:val="44"/>
        </w:rPr>
      </w:pPr>
      <w:bookmarkStart w:id="0" w:name="_Toc64990044"/>
      <w:r>
        <w:rPr>
          <w:rFonts w:hint="eastAsia" w:ascii="方正小标宋_GBK" w:eastAsia="方正小标宋_GBK"/>
          <w:sz w:val="44"/>
        </w:rPr>
        <w:t>一、中国共产党玉田县委员会办公室本级收支预算</w:t>
      </w:r>
      <w:bookmarkEnd w:id="0"/>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201001中国共产党玉田县委员会办公室本级</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201001中国共产党玉田县委员会办公室本级</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党委办公厅（室）及相关机构事务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2013101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8803910.71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8803910.71</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8803910.71</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2013105</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专项业务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201001中国共产党玉田县委员会办公室本级</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8603910.71</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700000.00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8603910.71</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党委办公厅（室）及相关机构事务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8603910.71</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8803910.71</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8603910.71</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2013105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专项业务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201001中国共产党玉田县委员会办公室本级</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201001中国共产党玉田县委员会办公室本级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9303910.71</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8603910.71</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8603910.71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党委办公厅（室）及相关机构事务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9303910.71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8603910.71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8803910.71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8603910.71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2013105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专项业务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201001中国共产党玉田县委员会办公室本级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8603910.71</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5837736.65</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2766174.06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5778336.65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5778336.65</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1203772.44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1203772.44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1615356.00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1615356.00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167461.00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167461.00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73714.29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73714.29</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586006.93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586006.93</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558537.85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558537.85</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938952.95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938952.95</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439505.19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439505.19</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195030.00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195030.00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2716174.06</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2716174.06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38500.00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印刷费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邮电费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69276.00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69276.00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租赁费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118400.00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2750.00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公务接待费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劳务费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43950.52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43950.52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福利费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51153.94</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51153.94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公务用车运行维护费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273000.00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其他交通费用</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12343.60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12343.60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59400.00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59400.00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离休费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退休费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19200.00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19200.00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资本性支出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31002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办公设备购置</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201001中国共产党玉田县委员会办公室本级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201001中国共产党玉田县委员会办公室本级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201001中国共产党玉田县委员会办公室本级</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一、因公出国（境）费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二、公务用车购置及运维费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273000.00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273000.00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三、公务接待费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中国共产党玉田县委员会办公室本级</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按照《预算法》、《地方预决算公开操作规程》和《河北省省级预算公开办法》规定，现将中国共产党玉田县委员会办公室本级</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ascii="Times New Roman" w:eastAsia="方正仿宋_GBK"/>
          <w:sz w:val="28"/>
        </w:rPr>
        <w:t>中国共产党玉田县委员会办公室工作职责</w:t>
      </w:r>
    </w:p>
    <w:p>
      <w:pPr>
        <w:spacing w:line="500" w:lineRule="exact"/>
        <w:ind w:firstLine="560" w:firstLineChars="200"/>
        <w:jc w:val="left"/>
        <w:rPr>
          <w:rFonts w:ascii="Times New Roman" w:eastAsia="方正仿宋_GBK"/>
          <w:sz w:val="28"/>
        </w:rPr>
      </w:pPr>
      <w:r>
        <w:rPr>
          <w:rFonts w:ascii="Times New Roman" w:eastAsia="方正仿宋_GBK"/>
          <w:sz w:val="28"/>
        </w:rPr>
        <w:t>（一）负责推动党中央和省委、市委、县委决策部署的落实，按照县委要求协调有关方面开展工作，承担县委运行保障具体事务。</w:t>
      </w:r>
    </w:p>
    <w:p>
      <w:pPr>
        <w:spacing w:line="500" w:lineRule="exact"/>
        <w:ind w:firstLine="560" w:firstLineChars="200"/>
        <w:jc w:val="left"/>
        <w:rPr>
          <w:rFonts w:ascii="Times New Roman" w:eastAsia="方正仿宋_GBK"/>
          <w:sz w:val="28"/>
        </w:rPr>
      </w:pPr>
      <w:r>
        <w:rPr>
          <w:rFonts w:ascii="Times New Roman" w:eastAsia="方正仿宋_GBK"/>
          <w:sz w:val="28"/>
        </w:rPr>
        <w:t>（二）负责县委和县委办公室文件、县委主要领导日常文稿和有关县领导讲话稿的起草、修改等工作。</w:t>
      </w:r>
    </w:p>
    <w:p>
      <w:pPr>
        <w:spacing w:line="500" w:lineRule="exact"/>
        <w:ind w:firstLine="560" w:firstLineChars="200"/>
        <w:jc w:val="left"/>
        <w:rPr>
          <w:rFonts w:ascii="Times New Roman" w:eastAsia="方正仿宋_GBK"/>
          <w:sz w:val="28"/>
        </w:rPr>
      </w:pPr>
      <w:r>
        <w:rPr>
          <w:rFonts w:ascii="Times New Roman" w:eastAsia="方正仿宋_GBK"/>
          <w:sz w:val="28"/>
        </w:rPr>
        <w:t>（三）负责研究制定督促检查工作年度计划和阶段性安排，统筹规范督查活动；组织实施督促检查活动，推动中央和省委、市委、县委重大决策部署的贯彻落实，协调解决推动决策落实中的重大问题；对中央和省委、市委、县委重要文件、重要会议议定事项进行督促检查；办理中央和省委、市委、县委领导批示指示事项，负责全县社情民意工作，督促有关单位办理全国和省、市、县人大代表建议、政协委员提案等。</w:t>
      </w:r>
    </w:p>
    <w:p>
      <w:pPr>
        <w:spacing w:line="500" w:lineRule="exact"/>
        <w:ind w:firstLine="560" w:firstLineChars="200"/>
        <w:jc w:val="left"/>
        <w:rPr>
          <w:rFonts w:ascii="Times New Roman" w:eastAsia="方正仿宋_GBK"/>
          <w:sz w:val="28"/>
        </w:rPr>
      </w:pPr>
      <w:r>
        <w:rPr>
          <w:rFonts w:ascii="Times New Roman" w:eastAsia="方正仿宋_GBK"/>
          <w:sz w:val="28"/>
        </w:rPr>
        <w:t>（四）围绕党中央和省委、市委、县委总体工作部署开展调查研究，提出意见和建议；组织撰写宣传、阐释党的路线方针政策和县委工作思路、部署要求的文章；组织各乡镇（街道）、县各派出机构和县直各部门围绕县委确定的重要课题协作攻关；收集和处理信息、反映动态，组织编写信息刊物；负责全县党委信息系统的协调和指导。</w:t>
      </w:r>
    </w:p>
    <w:p>
      <w:pPr>
        <w:spacing w:line="500" w:lineRule="exact"/>
        <w:ind w:firstLine="560" w:firstLineChars="200"/>
        <w:jc w:val="left"/>
        <w:rPr>
          <w:rFonts w:ascii="Times New Roman" w:eastAsia="方正仿宋_GBK"/>
          <w:sz w:val="28"/>
        </w:rPr>
      </w:pPr>
      <w:r>
        <w:rPr>
          <w:rFonts w:ascii="Times New Roman" w:eastAsia="方正仿宋_GBK"/>
          <w:sz w:val="28"/>
        </w:rPr>
        <w:t>（五）负责县委全委会、县委常委会和县委其他重要会议的会务工作；负责县委领导参加重大活动和日常工作活动的组织安排。</w:t>
      </w:r>
    </w:p>
    <w:p>
      <w:pPr>
        <w:spacing w:line="500" w:lineRule="exact"/>
        <w:ind w:firstLine="560" w:firstLineChars="200"/>
        <w:jc w:val="left"/>
        <w:rPr>
          <w:rFonts w:ascii="Times New Roman" w:eastAsia="方正仿宋_GBK"/>
          <w:sz w:val="28"/>
        </w:rPr>
      </w:pPr>
      <w:r>
        <w:rPr>
          <w:rFonts w:ascii="Times New Roman" w:eastAsia="方正仿宋_GBK"/>
          <w:sz w:val="28"/>
        </w:rPr>
        <w:t>（六）负责县委日常文书处理；负责县委文件和县委办公室代县委行文的审核工作；负责贯彻落实党内法规和规范性文件等工作；负责统筹协调和督促指导全县党务公开工作。</w:t>
      </w:r>
    </w:p>
    <w:p>
      <w:pPr>
        <w:spacing w:line="500" w:lineRule="exact"/>
        <w:ind w:firstLine="560" w:firstLineChars="200"/>
        <w:jc w:val="left"/>
        <w:rPr>
          <w:rFonts w:ascii="Times New Roman" w:eastAsia="方正仿宋_GBK"/>
          <w:sz w:val="28"/>
        </w:rPr>
      </w:pPr>
      <w:r>
        <w:rPr>
          <w:rFonts w:ascii="Times New Roman" w:eastAsia="方正仿宋_GBK"/>
          <w:sz w:val="28"/>
        </w:rPr>
        <w:t>（七）负责党中央、省委、市委和全县党政军领导机关及要害部门之间密级文件的传递工作。</w:t>
      </w:r>
    </w:p>
    <w:p>
      <w:pPr>
        <w:spacing w:line="500" w:lineRule="exact"/>
        <w:ind w:firstLine="560" w:firstLineChars="200"/>
        <w:jc w:val="left"/>
        <w:rPr>
          <w:rFonts w:ascii="Times New Roman" w:eastAsia="方正仿宋_GBK"/>
          <w:sz w:val="28"/>
        </w:rPr>
      </w:pPr>
      <w:r>
        <w:rPr>
          <w:rFonts w:ascii="Times New Roman" w:eastAsia="方正仿宋_GBK"/>
          <w:sz w:val="28"/>
        </w:rPr>
        <w:t>（八）负责全县档案事业宏观管理和监督指导等工作，委托档案馆具体行使职权。</w:t>
      </w:r>
    </w:p>
    <w:p>
      <w:pPr>
        <w:spacing w:line="500" w:lineRule="exact"/>
        <w:ind w:firstLine="560" w:firstLineChars="200"/>
        <w:jc w:val="left"/>
        <w:rPr>
          <w:rFonts w:ascii="Times New Roman" w:eastAsia="方正仿宋_GBK"/>
          <w:sz w:val="28"/>
        </w:rPr>
      </w:pPr>
      <w:r>
        <w:rPr>
          <w:rFonts w:ascii="Times New Roman" w:eastAsia="方正仿宋_GBK"/>
          <w:sz w:val="28"/>
        </w:rPr>
        <w:t>（九）承担县委保密委员会、县密码工作领导小组的日常工作；负责全县保密、密码工作发展规划的拟订和组织实施，制定相关制度；对全县机要保密部门实施业务指导；负责全县党政机关及经济、科学等领域保密管理，通信和计算机网络的保密管理，全县密码的装备、使用和管理；负责失泄密事件的查处工作；负责全县电子政务内网、党委系统信息化等建设和管理工作；负责全县保密机要干部教育培训工作；负责县委领导及县委办公室机关办公网络设备维护；负责全县党政机关机要通信和明、密电报的传输。</w:t>
      </w:r>
    </w:p>
    <w:p>
      <w:pPr>
        <w:spacing w:line="500" w:lineRule="exact"/>
        <w:ind w:firstLine="560" w:firstLineChars="200"/>
        <w:jc w:val="left"/>
        <w:rPr>
          <w:rFonts w:ascii="Times New Roman" w:eastAsia="方正仿宋_GBK"/>
          <w:sz w:val="28"/>
        </w:rPr>
      </w:pPr>
      <w:r>
        <w:rPr>
          <w:rFonts w:ascii="Times New Roman" w:eastAsia="方正仿宋_GBK"/>
          <w:sz w:val="28"/>
        </w:rPr>
        <w:t>（十）负责县委国家安全的日常工作，综合协调县委交办的国家安全方面的相关工作。</w:t>
      </w:r>
    </w:p>
    <w:p>
      <w:pPr>
        <w:spacing w:line="500" w:lineRule="exact"/>
        <w:ind w:firstLine="560" w:firstLineChars="200"/>
        <w:jc w:val="left"/>
        <w:rPr>
          <w:rFonts w:ascii="Times New Roman" w:eastAsia="方正仿宋_GBK"/>
          <w:sz w:val="28"/>
        </w:rPr>
      </w:pPr>
      <w:r>
        <w:rPr>
          <w:rFonts w:ascii="Times New Roman" w:eastAsia="方正仿宋_GBK"/>
          <w:sz w:val="28"/>
        </w:rPr>
        <w:t>（十一）负责县委全面从严治党主体责任的日常工作，综合协调县委交办的全面从严治党方面的相关工作。</w:t>
      </w:r>
    </w:p>
    <w:p>
      <w:pPr>
        <w:spacing w:line="500" w:lineRule="exact"/>
        <w:ind w:firstLine="560" w:firstLineChars="200"/>
        <w:jc w:val="left"/>
        <w:rPr>
          <w:rFonts w:ascii="Times New Roman" w:eastAsia="方正仿宋_GBK"/>
          <w:sz w:val="28"/>
        </w:rPr>
      </w:pPr>
      <w:r>
        <w:rPr>
          <w:rFonts w:ascii="Times New Roman" w:eastAsia="方正仿宋_GBK"/>
          <w:sz w:val="28"/>
        </w:rPr>
        <w:t>（十二）完成县委交办的其他任务。</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中国共产党玉田县委员会办公室本级</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正科级</w:t>
            </w: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财政拨款</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按照预算管理有关规定，目前我省部门预算的编制实行综合预算管理，即全部收入和支出都反映在预算中。中国共产党玉田县委员会办公室机关及所属事业单位的收支包含在部门预算中。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pStyle w:val="4"/>
        <w:widowControl/>
        <w:rPr>
          <w:rFonts w:eastAsia="方正仿宋_GBK"/>
          <w:b w:val="0"/>
          <w:bCs w:val="0"/>
          <w:kern w:val="0"/>
        </w:rPr>
      </w:pPr>
      <w:r>
        <w:rPr>
          <w:rFonts w:eastAsia="方正仿宋_GBK"/>
          <w:b w:val="0"/>
          <w:bCs w:val="0"/>
          <w:kern w:val="0"/>
        </w:rPr>
        <w:t>202</w:t>
      </w:r>
      <w:r>
        <w:rPr>
          <w:rFonts w:hint="eastAsia" w:eastAsia="方正仿宋_GBK"/>
          <w:b w:val="0"/>
          <w:bCs w:val="0"/>
          <w:kern w:val="0"/>
          <w:lang w:val="en-US" w:eastAsia="zh-CN"/>
        </w:rPr>
        <w:t>1</w:t>
      </w:r>
      <w:r>
        <w:rPr>
          <w:rFonts w:eastAsia="方正仿宋_GBK"/>
          <w:b w:val="0"/>
          <w:bCs w:val="0"/>
          <w:kern w:val="0"/>
        </w:rPr>
        <w:t>年我单位安排机关运行经费</w:t>
      </w:r>
      <w:r>
        <w:rPr>
          <w:rFonts w:ascii="方正书宋_GBK" w:eastAsia="方正书宋_GBK"/>
        </w:rPr>
        <w:t>2716174.06</w:t>
      </w:r>
      <w:r>
        <w:rPr>
          <w:rFonts w:eastAsia="方正仿宋_GBK"/>
          <w:b w:val="0"/>
          <w:bCs w:val="0"/>
          <w:kern w:val="0"/>
        </w:rPr>
        <w:t>元，全部为日常公用经费</w:t>
      </w:r>
      <w:r>
        <w:rPr>
          <w:rFonts w:ascii="方正书宋_GBK" w:eastAsia="方正书宋_GBK"/>
        </w:rPr>
        <w:t>2716174.06</w:t>
      </w:r>
      <w:r>
        <w:rPr>
          <w:rFonts w:eastAsia="方正仿宋_GBK"/>
          <w:b w:val="0"/>
          <w:bCs w:val="0"/>
          <w:kern w:val="0"/>
        </w:rPr>
        <w:t>元。</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pStyle w:val="4"/>
        <w:rPr>
          <w:rFonts w:hint="eastAsia" w:eastAsia="方正仿宋_GBK"/>
          <w:lang w:val="en-US" w:eastAsia="zh-CN"/>
        </w:rPr>
      </w:pPr>
      <w:r>
        <w:t>公务接待费</w:t>
      </w:r>
      <w:r>
        <w:rPr>
          <w:rFonts w:hint="eastAsia"/>
          <w:lang w:val="en-US" w:eastAsia="zh-CN"/>
        </w:rPr>
        <w:t>150</w:t>
      </w:r>
      <w:r>
        <w:t>万，公车运行维护费</w:t>
      </w:r>
      <w:r>
        <w:rPr>
          <w:rFonts w:hint="eastAsia"/>
          <w:lang w:val="en-US" w:eastAsia="zh-CN"/>
        </w:rPr>
        <w:t>27.3</w:t>
      </w:r>
      <w:r>
        <w:t>万。</w:t>
      </w:r>
      <w:r>
        <w:rPr>
          <w:rFonts w:hint="eastAsia"/>
          <w:lang w:val="en-US" w:eastAsia="zh-CN"/>
        </w:rPr>
        <w:t>上年</w:t>
      </w:r>
      <w:r>
        <w:t>公车运行维护费</w:t>
      </w:r>
      <w:r>
        <w:rPr>
          <w:rFonts w:hint="eastAsia"/>
          <w:lang w:val="en-US" w:eastAsia="zh-CN"/>
        </w:rPr>
        <w:t>29.6</w:t>
      </w:r>
      <w:r>
        <w:t>万</w:t>
      </w:r>
      <w:r>
        <w:rPr>
          <w:rFonts w:hint="eastAsia"/>
          <w:lang w:eastAsia="zh-CN"/>
        </w:rPr>
        <w:t>，</w:t>
      </w:r>
      <w:r>
        <w:rPr>
          <w:rFonts w:hint="eastAsia"/>
          <w:lang w:val="en-US" w:eastAsia="zh-CN"/>
        </w:rPr>
        <w:t>较上年减少2.3万元，原因减少公车一辆。</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ascii="Times New Roman" w:hAnsi="宋体" w:eastAsia="宋体"/>
          <w:b/>
          <w:sz w:val="28"/>
        </w:rPr>
      </w:pPr>
      <w:r>
        <w:rPr>
          <w:rFonts w:ascii="方正仿宋_GBK" w:eastAsia="方正仿宋_GBK"/>
          <w:b/>
          <w:sz w:val="28"/>
        </w:rPr>
        <w:t>1、专项业务费绩效目标表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1.组织协调县委大型会议和活动</w:t>
            </w:r>
          </w:p>
          <w:p>
            <w:pPr>
              <w:spacing w:line="300" w:lineRule="exact"/>
              <w:jc w:val="left"/>
              <w:rPr>
                <w:rFonts w:ascii="方正书宋_GBK" w:eastAsia="方正书宋_GBK"/>
              </w:rPr>
            </w:pPr>
            <w:r>
              <w:rPr>
                <w:rFonts w:ascii="方正书宋_GBK" w:eastAsia="方正书宋_GBK"/>
              </w:rPr>
              <w:t>2.保障县委公文正常运转</w:t>
            </w:r>
          </w:p>
          <w:p>
            <w:pPr>
              <w:spacing w:line="300" w:lineRule="exact"/>
              <w:jc w:val="left"/>
              <w:rPr>
                <w:rFonts w:ascii="方正书宋_GBK" w:eastAsia="方正书宋_GBK"/>
              </w:rPr>
            </w:pPr>
            <w:r>
              <w:rPr>
                <w:rFonts w:ascii="方正书宋_GBK" w:eastAsia="方正书宋_GBK"/>
              </w:rPr>
              <w:t>3.服务县委领导</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大型会议控制率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减少的大型会议数量占年度大型会议数量的比例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会务接待工作完成率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已完成会务接待工作占会务接待总量的比例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全部完成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公文流转速度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来文、发文办理时限是否符合相关规定要求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在规定时间完成公文流转</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会议费标准控制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各类会议人均会议费标准控制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严格按照各类会议标准执行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社会经济发展贡献率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会议形成的决策部署对全县经济社会发展的推动作用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有效推动全县经济社会发展</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重大工作参与率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反映县领导参与省市和县委重大改革工作事项的数量占总量的比例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参与对象满意度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参会人对会务组织服务工作的满意度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2、维护国家安全工作经费绩效目标表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1.保障国家安全政策在全县实施</w:t>
            </w:r>
          </w:p>
          <w:p>
            <w:pPr>
              <w:spacing w:line="300" w:lineRule="exact"/>
              <w:jc w:val="left"/>
              <w:rPr>
                <w:rFonts w:ascii="方正书宋_GBK" w:eastAsia="方正书宋_GBK"/>
              </w:rPr>
            </w:pPr>
            <w:r>
              <w:rPr>
                <w:rFonts w:ascii="方正书宋_GBK" w:eastAsia="方正书宋_GBK"/>
              </w:rPr>
              <w:t>2.开展国家安全教育</w:t>
            </w:r>
          </w:p>
          <w:p>
            <w:pPr>
              <w:spacing w:line="300" w:lineRule="exact"/>
              <w:jc w:val="left"/>
              <w:rPr>
                <w:rFonts w:ascii="方正书宋_GBK" w:eastAsia="方正书宋_GBK"/>
              </w:rPr>
            </w:pPr>
            <w:r>
              <w:rPr>
                <w:rFonts w:ascii="方正书宋_GBK" w:eastAsia="方正书宋_GBK"/>
              </w:rPr>
              <w:t>3.保障县委国安办工作正常开展</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宣传活动数量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开展国家安全教育宣传的次数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国家安全政策落实率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全县国家安全工作的统筹协调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全面统筹协调各单位、各部门</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信息上报及时率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收集汇总、整理分析并及时上报涉及国家安全的情报信息</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及时上报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开展调查研究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开展全县涉及国家安全问题的的调查研究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形成专项报告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组织考察考评</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组织全县国家安全工作督促检查、考评考核</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制定工作方案</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制定县委国家安全委员会工作要点，提出工作实施方案</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工作方案切实可行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国家安全意识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全县国家安全意识提高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3、县委维修费绩效目标表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1.机房的日常维修维护</w:t>
            </w:r>
          </w:p>
          <w:p>
            <w:pPr>
              <w:spacing w:line="300" w:lineRule="exact"/>
              <w:jc w:val="left"/>
              <w:rPr>
                <w:rFonts w:ascii="方正书宋_GBK" w:eastAsia="方正书宋_GBK"/>
              </w:rPr>
            </w:pPr>
            <w:r>
              <w:rPr>
                <w:rFonts w:ascii="方正书宋_GBK" w:eastAsia="方正书宋_GBK"/>
              </w:rPr>
              <w:t>2.机房正常运行，为机要保密工作提供安全有力的保障。</w:t>
            </w:r>
          </w:p>
          <w:p>
            <w:pPr>
              <w:spacing w:line="300" w:lineRule="exact"/>
              <w:jc w:val="left"/>
              <w:rPr>
                <w:rFonts w:ascii="方正书宋_GBK" w:eastAsia="方正书宋_GBK"/>
              </w:rPr>
            </w:pPr>
            <w:r>
              <w:rPr>
                <w:rFonts w:ascii="方正书宋_GBK" w:eastAsia="方正书宋_GBK"/>
              </w:rPr>
              <w:t>3.保密装备、涉密计算机的维修维护</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维护数量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机房、保密装备、涉密计算机数量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全部设备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机房运行情况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保证机房正常运行</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机房正常运行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维修及时率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对机房的重要部件和关键设备定期维修维护</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每半年检查一次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机房正常运行率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及时对机房的设备进行维修维护</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机房正常运行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信息安全率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保障全县党政机关信息安全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每天24小时不间断</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安全稳定性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保障设备安全稳定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为机要保密工作提供有力保障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使用好评率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机房计算机使用者评价</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根据实际确定</w:t>
            </w:r>
          </w:p>
        </w:tc>
      </w:tr>
    </w:tbl>
    <w:p>
      <w:pPr>
        <w:spacing w:line="300" w:lineRule="exact"/>
        <w:jc w:val="left"/>
      </w:pPr>
    </w:p>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5、县委机要通讯设备专用材料费绩效目标表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1.机房设备日常更新替换</w:t>
            </w:r>
          </w:p>
          <w:p>
            <w:pPr>
              <w:spacing w:line="300" w:lineRule="exact"/>
              <w:jc w:val="left"/>
              <w:rPr>
                <w:rFonts w:ascii="方正书宋_GBK" w:eastAsia="方正书宋_GBK"/>
              </w:rPr>
            </w:pPr>
            <w:r>
              <w:rPr>
                <w:rFonts w:ascii="方正书宋_GBK" w:eastAsia="方正书宋_GBK"/>
              </w:rPr>
              <w:t>2.机房专用耗材的购买</w:t>
            </w:r>
          </w:p>
          <w:p>
            <w:pPr>
              <w:spacing w:line="300" w:lineRule="exact"/>
              <w:jc w:val="left"/>
              <w:rPr>
                <w:rFonts w:ascii="方正书宋_GBK" w:eastAsia="方正书宋_GBK"/>
              </w:rPr>
            </w:pPr>
            <w:r>
              <w:rPr>
                <w:rFonts w:ascii="方正书宋_GBK" w:eastAsia="方正书宋_GBK"/>
              </w:rPr>
              <w:t>3.安可计算机专用耗材购买</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机房耗材消耗率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机房耗材使用与业务量比例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业务越多使用耗材越多</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机房运行情况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机房能否正常运行</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正常运行</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及时更换</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耗材及时更换</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≤24小时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信息化水平</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提高业务信息化水平</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显著提高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工作保障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为机要保密、沟通协调、领导指挥等工作提供有力保障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有利于提高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持续保障率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能够长期不间断满足机要保密业务的需要</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根据实际情况确定</w:t>
            </w:r>
          </w:p>
        </w:tc>
      </w:tr>
    </w:tbl>
    <w:p>
      <w:pPr>
        <w:spacing w:line="300" w:lineRule="exact"/>
        <w:jc w:val="left"/>
      </w:pPr>
      <w:bookmarkStart w:id="1" w:name="_GoBack"/>
      <w:bookmarkEnd w:id="1"/>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2021年，中国共产党玉田县委员会办公室本级安排政府采购预算0.00万元。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201001中国共产党玉田县委员会办公室本级</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中国共产党玉田县委员会办公室本级（含所属单位）上年末固定资产金额为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201001中国共产党玉田县委员会办公室本级</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74F47"/>
    <w:rsid w:val="14174F47"/>
    <w:rsid w:val="39596A2A"/>
    <w:rsid w:val="711F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2022-09-15T08:45:00Z</dcterms:created>
  <dc:creator>lenovo</dc:creator>
  <cp:lastModifiedBy>lenovo</cp:lastModifiedBy>
  <dcterms:modified xsi:type="dcterms:W3CDTF">2024-07-23T09:54:34Z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1EFE73779ADC474EAF13950231E0D8BD</vt:lpwstr>
  </property>
</Properties>
</file>