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商务和投资促进局</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2022年跨境电子商务发展专项资金</w:t>
      </w:r>
      <w:r>
        <w:rPr>
          <w:rFonts w:hint="eastAsia" w:ascii="方正小标宋_GBK" w:hAnsi="宋体" w:eastAsia="方正小标宋_GBK" w:cs="宋体"/>
          <w:bCs/>
          <w:kern w:val="0"/>
          <w:sz w:val="44"/>
          <w:szCs w:val="44"/>
          <w:u w:val="none"/>
        </w:rPr>
        <w:t>项目</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rPr>
        <w:t>支出绩效评价报告</w:t>
      </w:r>
    </w:p>
    <w:p>
      <w:pPr>
        <w:widowControl/>
        <w:spacing w:line="600" w:lineRule="exact"/>
        <w:jc w:val="center"/>
        <w:rPr>
          <w:rFonts w:hint="eastAsia" w:ascii="方正小标宋_GBK" w:hAnsi="宋体" w:eastAsia="方正小标宋_GBK" w:cs="宋体"/>
          <w:bCs/>
          <w:kern w:val="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3年度</w:t>
      </w:r>
      <w:r>
        <w:rPr>
          <w:rFonts w:hint="eastAsia" w:ascii="仿宋_GB2312" w:eastAsia="仿宋_GB2312"/>
          <w:sz w:val="32"/>
          <w:szCs w:val="32"/>
        </w:rPr>
        <w:t>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为鼓励我县跨境电商企业通过拓展渠道、打造品牌、提升信息化水平等途径，增强服务能力；进一步提升我县跨境电商贸易便利化水平，优化跨境电商生态环境；拨付2022年跨境电商专项资金</w:t>
      </w:r>
      <w:r>
        <w:rPr>
          <w:rFonts w:hint="eastAsia" w:ascii="仿宋_GB2312" w:hAnsi="仿宋_GB2312" w:eastAsia="仿宋_GB2312" w:cs="仿宋_GB2312"/>
          <w:sz w:val="32"/>
          <w:szCs w:val="32"/>
          <w:lang w:val="en-US" w:eastAsia="zh-CN"/>
        </w:rPr>
        <w:t>124.02万元</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eastAsia="仿宋_GB2312"/>
          <w:sz w:val="32"/>
          <w:szCs w:val="32"/>
          <w:lang w:val="en-US" w:eastAsia="zh-CN"/>
        </w:rPr>
        <w:t>有效促进我县跨境电商企业的贸易水平，</w:t>
      </w:r>
      <w:r>
        <w:rPr>
          <w:rFonts w:hint="eastAsia" w:ascii="仿宋_GB2312" w:hAnsi="仿宋_GB2312" w:eastAsia="仿宋_GB2312" w:cs="仿宋_GB2312"/>
          <w:sz w:val="32"/>
          <w:szCs w:val="32"/>
          <w:lang w:eastAsia="zh-CN"/>
        </w:rPr>
        <w:t>鼓励我县跨境电商企业通过拓展渠道、打造品牌、提升信息化水平等途径，增强服务能力，优化跨境电商生态环境。</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w:t>
      </w:r>
      <w:r>
        <w:rPr>
          <w:rFonts w:hint="eastAsia" w:ascii="仿宋_GB2312" w:eastAsia="仿宋_GB2312"/>
          <w:sz w:val="32"/>
          <w:szCs w:val="32"/>
          <w:lang w:val="en-US" w:eastAsia="zh-CN"/>
        </w:rPr>
        <w:t>张丽华</w:t>
      </w:r>
      <w:r>
        <w:rPr>
          <w:rFonts w:hint="eastAsia" w:ascii="仿宋_GB2312" w:eastAsia="仿宋_GB2312"/>
          <w:sz w:val="32"/>
          <w:szCs w:val="32"/>
        </w:rPr>
        <w:t>任组长，由办公室主任</w:t>
      </w:r>
      <w:r>
        <w:rPr>
          <w:rFonts w:hint="eastAsia" w:ascii="仿宋_GB2312" w:eastAsia="仿宋_GB2312"/>
          <w:sz w:val="32"/>
          <w:szCs w:val="32"/>
          <w:lang w:val="en-US" w:eastAsia="zh-CN"/>
        </w:rPr>
        <w:t>丁立超</w:t>
      </w:r>
      <w:r>
        <w:rPr>
          <w:rFonts w:hint="eastAsia" w:ascii="仿宋_GB2312" w:eastAsia="仿宋_GB2312"/>
          <w:sz w:val="32"/>
          <w:szCs w:val="32"/>
        </w:rPr>
        <w:t>、</w:t>
      </w:r>
      <w:r>
        <w:rPr>
          <w:rFonts w:hint="eastAsia" w:ascii="仿宋_GB2312" w:eastAsia="仿宋_GB2312"/>
          <w:sz w:val="32"/>
          <w:szCs w:val="32"/>
          <w:lang w:val="en-US" w:eastAsia="zh-CN"/>
        </w:rPr>
        <w:t>对外贸易科</w:t>
      </w:r>
      <w:r>
        <w:rPr>
          <w:rFonts w:hint="eastAsia" w:ascii="仿宋_GB2312" w:eastAsia="仿宋_GB2312"/>
          <w:sz w:val="32"/>
          <w:szCs w:val="32"/>
        </w:rPr>
        <w:t>科科长</w:t>
      </w:r>
      <w:r>
        <w:rPr>
          <w:rFonts w:hint="eastAsia" w:ascii="仿宋_GB2312" w:eastAsia="仿宋_GB2312"/>
          <w:sz w:val="32"/>
          <w:szCs w:val="32"/>
          <w:lang w:val="en-US" w:eastAsia="zh-CN"/>
        </w:rPr>
        <w:t>王洪娥</w:t>
      </w:r>
      <w:r>
        <w:rPr>
          <w:rFonts w:hint="eastAsia" w:ascii="仿宋_GB2312" w:eastAsia="仿宋_GB2312"/>
          <w:sz w:val="32"/>
          <w:szCs w:val="32"/>
        </w:rPr>
        <w:t>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进一步健全政府绩效管理制度，提高财政资金使用效益，开展预算绩效管理，全面推进预算绩效管理是建设节约政府和服务政府、提高政府行政效能的重要举措，有利于优化公共资源配置，有利于提高公共服务质量，有利于增强预算支出主体责任。</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w:t>
      </w:r>
      <w:bookmarkStart w:id="0" w:name="_GoBack"/>
      <w:bookmarkEnd w:id="0"/>
      <w:r>
        <w:rPr>
          <w:rFonts w:hint="eastAsia" w:ascii="仿宋_GB2312" w:eastAsia="仿宋_GB2312"/>
          <w:sz w:val="32"/>
          <w:szCs w:val="32"/>
        </w:rPr>
        <w:t>、评价方法、评价标准等。</w:t>
      </w:r>
    </w:p>
    <w:p>
      <w:pPr>
        <w:keepNext w:val="0"/>
        <w:keepLines w:val="0"/>
        <w:pageBreakBefore w:val="0"/>
        <w:widowControl/>
        <w:kinsoku/>
        <w:wordWrap/>
        <w:overflowPunct/>
        <w:topLinePunct w:val="0"/>
        <w:autoSpaceDE/>
        <w:autoSpaceDN/>
        <w:bidi w:val="0"/>
        <w:adjustRightInd/>
        <w:snapToGrid/>
        <w:spacing w:line="480" w:lineRule="auto"/>
        <w:ind w:firstLine="640" w:firstLineChars="200"/>
        <w:jc w:val="left"/>
        <w:textAlignment w:val="auto"/>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按照“先易后难、逐步推开”的原则，建立健全预算绩效管理制度，将所有财政性资金纳入预算绩效管理范围，形成预算绩效管理长效机制。预算绩效管理工作范围覆盖所有财政性资金。重点做好年度预算安排的项目支出及部门整体支出绩效管理；尤其重点做好重大民生项目、重大公益性项目、专业性技术性较强的项目、资金使用效益不明显的项目、数额较大的项目及财政扶持经济社会发展政策资金等六类项目的绩效管理。</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仿宋_GB2312"/>
          <w:sz w:val="32"/>
          <w:szCs w:val="32"/>
          <w:lang w:val="en-US" w:eastAsia="zh-CN"/>
        </w:rPr>
      </w:pPr>
      <w:r>
        <w:rPr>
          <w:rFonts w:hint="eastAsia" w:ascii="仿宋_GB2312" w:eastAsia="仿宋_GB2312"/>
          <w:sz w:val="32"/>
          <w:szCs w:val="32"/>
          <w:lang w:val="en-US" w:eastAsia="zh-CN"/>
        </w:rPr>
        <w:t>2022年跨境电子商务发展专项资金</w:t>
      </w:r>
      <w:r>
        <w:rPr>
          <w:rFonts w:hint="eastAsia" w:ascii="仿宋_GB2312" w:eastAsia="仿宋_GB2312"/>
          <w:sz w:val="32"/>
          <w:szCs w:val="32"/>
        </w:rPr>
        <w:t>项目立项依据充分,目标合理，方案可行，资金测算科学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2022年跨境电子商务发展专项资金</w:t>
      </w:r>
      <w:r>
        <w:rPr>
          <w:rFonts w:hint="eastAsia" w:ascii="仿宋_GB2312" w:eastAsia="仿宋_GB2312"/>
          <w:sz w:val="32"/>
          <w:szCs w:val="32"/>
        </w:rPr>
        <w:t>项目，所需资金</w:t>
      </w:r>
      <w:r>
        <w:rPr>
          <w:rFonts w:hint="eastAsia" w:ascii="仿宋_GB2312" w:eastAsia="仿宋_GB2312"/>
          <w:sz w:val="32"/>
          <w:szCs w:val="32"/>
          <w:lang w:val="en-US" w:eastAsia="zh-CN"/>
        </w:rPr>
        <w:t>124.02</w:t>
      </w:r>
      <w:r>
        <w:rPr>
          <w:rFonts w:hint="eastAsia" w:ascii="仿宋_GB2312" w:eastAsia="仿宋_GB2312"/>
          <w:sz w:val="32"/>
          <w:szCs w:val="32"/>
        </w:rPr>
        <w:t>万元全部为</w:t>
      </w:r>
      <w:r>
        <w:rPr>
          <w:rFonts w:hint="eastAsia" w:ascii="仿宋_GB2312" w:eastAsia="仿宋_GB2312"/>
          <w:sz w:val="32"/>
          <w:szCs w:val="32"/>
          <w:lang w:val="en-US" w:eastAsia="zh-CN"/>
        </w:rPr>
        <w:t>上级专款资金</w:t>
      </w:r>
      <w:r>
        <w:rPr>
          <w:rFonts w:hint="eastAsia" w:ascii="仿宋_GB2312" w:eastAsia="仿宋_GB2312"/>
          <w:sz w:val="32"/>
          <w:szCs w:val="32"/>
        </w:rPr>
        <w:t>，</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经研究决定，2022年跨境电子商务发展专项资金</w:t>
      </w:r>
      <w:r>
        <w:rPr>
          <w:rFonts w:hint="eastAsia" w:ascii="仿宋" w:hAnsi="仿宋" w:eastAsia="仿宋"/>
          <w:color w:val="000000"/>
          <w:sz w:val="32"/>
          <w:szCs w:val="32"/>
          <w:lang w:val="en-US" w:eastAsia="zh-CN"/>
        </w:rPr>
        <w:t>项目</w:t>
      </w:r>
      <w:r>
        <w:rPr>
          <w:rFonts w:ascii="仿宋_GB2312" w:eastAsia="仿宋_GB2312"/>
          <w:sz w:val="32"/>
          <w:szCs w:val="32"/>
        </w:rPr>
        <w:t>立项依据充分，属于财政事权范围，具有现实紧迫性，相同或相近领域</w:t>
      </w:r>
      <w:r>
        <w:rPr>
          <w:rFonts w:hint="eastAsia" w:ascii="仿宋_GB2312" w:eastAsia="仿宋_GB2312"/>
          <w:sz w:val="32"/>
          <w:szCs w:val="32"/>
        </w:rPr>
        <w:t>无</w:t>
      </w:r>
      <w:r>
        <w:rPr>
          <w:rFonts w:ascii="仿宋_GB2312" w:eastAsia="仿宋_GB2312"/>
          <w:sz w:val="32"/>
          <w:szCs w:val="32"/>
        </w:rPr>
        <w:t>用途相似的预算安排，</w:t>
      </w:r>
      <w:r>
        <w:rPr>
          <w:rFonts w:hint="eastAsia" w:ascii="仿宋_GB2312" w:eastAsia="仿宋_GB2312"/>
          <w:sz w:val="32"/>
          <w:szCs w:val="32"/>
        </w:rPr>
        <w:t>不具有</w:t>
      </w:r>
      <w:r>
        <w:rPr>
          <w:rFonts w:ascii="仿宋_GB2312" w:eastAsia="仿宋_GB2312"/>
          <w:sz w:val="32"/>
          <w:szCs w:val="32"/>
        </w:rPr>
        <w:t>可替代性。</w:t>
      </w:r>
      <w:r>
        <w:rPr>
          <w:rFonts w:hint="eastAsia" w:ascii="仿宋_GB2312" w:eastAsia="仿宋_GB2312"/>
          <w:sz w:val="32"/>
          <w:szCs w:val="32"/>
          <w:lang w:val="en-US" w:eastAsia="zh-CN"/>
        </w:rPr>
        <w:t>2023年度，2022年跨境电子商务发展专项资金124.02万元，截至2023年12月31日，2022年跨境电子商务发展专项资金已经拨付124.02万元，资金到位率为100%。在2022年跨境电子商务发展专项资金的使用管理上，严格遵守财经纪律，成立了2022年跨境电子商务发展专项资金使用工作小组，由局长胡旭旺担任组长，三级主任科员张丽华担任副组长，办公室主任丁立超，对外贸易科科长王洪娥为组员的组织机构。严格按照2023年度工作计划，确保资金准确及时到位，坚持专款专用，充分发挥资金效益。按照现行资金管理办法的要求，对项目资金进行严格的审批、支付等各项管理制度，无挤占、截留、挪用、骗取、套取、浪费2022年跨境电子商务发展专项资金的行为。</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hAnsi="Times New Roman" w:eastAsia="仿宋_GB2312" w:cs="Times New Roman"/>
          <w:sz w:val="32"/>
          <w:szCs w:val="32"/>
          <w:lang w:val="en-US" w:eastAsia="zh-CN"/>
        </w:rPr>
      </w:pPr>
      <w:r>
        <w:rPr>
          <w:rFonts w:hint="eastAsia" w:ascii="仿宋_GB2312" w:eastAsia="仿宋_GB2312" w:cs="Times New Roman"/>
          <w:sz w:val="32"/>
          <w:szCs w:val="32"/>
          <w:lang w:val="en-US" w:eastAsia="zh-CN"/>
        </w:rPr>
        <w:t>有效鼓励了我县跨境电商企业的发展，对河北万杰机械科技股份有限公司等县内13家企业拨付</w:t>
      </w:r>
      <w:r>
        <w:rPr>
          <w:rFonts w:hint="eastAsia" w:ascii="仿宋_GB2312" w:eastAsia="仿宋_GB2312"/>
          <w:sz w:val="32"/>
          <w:szCs w:val="32"/>
          <w:lang w:val="en-US" w:eastAsia="zh-CN"/>
        </w:rPr>
        <w:t>2022年跨境电子商务发展专项资金共计124.02万元，促成对外贸易合作数量10个，增加营业收入达300万元以上，进一步提升了我县跨境电商的贸易水平</w:t>
      </w:r>
      <w:r>
        <w:rPr>
          <w:rFonts w:hint="eastAsia" w:ascii="仿宋_GB2312" w:hAnsi="Times New Roman" w:eastAsia="仿宋_GB2312" w:cs="Times New Roman"/>
          <w:sz w:val="32"/>
          <w:szCs w:val="32"/>
          <w:lang w:val="en-US" w:eastAsia="zh-CN"/>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cs="Times New Roman"/>
          <w:sz w:val="32"/>
          <w:szCs w:val="32"/>
          <w:lang w:val="en-US" w:eastAsia="zh-CN"/>
        </w:rPr>
        <w:t>引导社会资金投入</w:t>
      </w:r>
      <w:r>
        <w:rPr>
          <w:rFonts w:hint="eastAsia" w:ascii="仿宋_GB2312" w:eastAsia="仿宋_GB2312"/>
          <w:sz w:val="32"/>
          <w:szCs w:val="32"/>
          <w:lang w:val="en-US" w:eastAsia="zh-CN"/>
        </w:rPr>
        <w:t>达300万元以上，</w:t>
      </w:r>
      <w:r>
        <w:rPr>
          <w:rFonts w:hint="eastAsia" w:ascii="方正仿宋简体" w:hAnsi="Times New Roman" w:eastAsia="方正仿宋简体" w:cs="Times New Roman"/>
          <w:sz w:val="32"/>
          <w:szCs w:val="32"/>
          <w:lang w:val="en-US" w:eastAsia="zh-CN"/>
        </w:rPr>
        <w:t>收到了</w:t>
      </w:r>
      <w:r>
        <w:rPr>
          <w:rFonts w:hint="eastAsia" w:ascii="方正仿宋简体" w:eastAsia="方正仿宋简体" w:cs="Times New Roman"/>
          <w:sz w:val="32"/>
          <w:szCs w:val="32"/>
          <w:lang w:val="en-US" w:eastAsia="zh-CN"/>
        </w:rPr>
        <w:t>跨境</w:t>
      </w:r>
      <w:r>
        <w:rPr>
          <w:rFonts w:hint="eastAsia" w:ascii="方正仿宋简体" w:hAnsi="Times New Roman" w:eastAsia="方正仿宋简体" w:cs="Times New Roman"/>
          <w:sz w:val="32"/>
          <w:szCs w:val="32"/>
          <w:lang w:val="en-US" w:eastAsia="zh-CN"/>
        </w:rPr>
        <w:t>电子商务重点企业和广大人民群众的一致好评，取得了良好的社会效益</w:t>
      </w:r>
      <w:r>
        <w:rPr>
          <w:rFonts w:hint="eastAsia" w:ascii="方正仿宋简体" w:hAnsi="Times New Roman" w:eastAsia="方正仿宋简体" w:cs="Times New Roman"/>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为做好预算绩效考核的各项工作，我局初步建立了财政预算绩效管理相关制度和工作机制，稳步推进预算绩效管理工作，进一步优化了公共资源配置，提高了公共服务质量，增强了预算支出主体责任。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default" w:ascii="Times New Roman" w:hAnsi="Times New Roman" w:eastAsia="黑体" w:cs="Times New Roman"/>
          <w:sz w:val="32"/>
          <w:szCs w:val="32"/>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今后，我局将继续加强预算绩效监督管理工作，建立确实可行的内部控制制度，为预算绩效管理开展提供相应的指导和监督，及时整改发现的问题，确保预算绩效管理工作顺利进行。</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color="auto" w:fill="FFFFFF"/>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无。</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CBC7884"/>
    <w:rsid w:val="0FD13331"/>
    <w:rsid w:val="1D0A0FB8"/>
    <w:rsid w:val="1D9A6920"/>
    <w:rsid w:val="29F2743A"/>
    <w:rsid w:val="34614ACA"/>
    <w:rsid w:val="44787793"/>
    <w:rsid w:val="4595474B"/>
    <w:rsid w:val="49D67DF9"/>
    <w:rsid w:val="51163C25"/>
    <w:rsid w:val="51D879E2"/>
    <w:rsid w:val="52A446D9"/>
    <w:rsid w:val="5A322E92"/>
    <w:rsid w:val="5EBB696B"/>
    <w:rsid w:val="63AF0C61"/>
    <w:rsid w:val="645769AB"/>
    <w:rsid w:val="68AD3D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2</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2024-04-22T01:26:21Z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