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u w:val="none"/>
          <w:lang w:eastAsia="zh-CN"/>
        </w:rPr>
        <w:t>玉田县</w:t>
      </w:r>
      <w:r>
        <w:rPr>
          <w:rFonts w:hint="eastAsia" w:ascii="方正小标宋_GBK" w:hAnsi="宋体" w:eastAsia="方正小标宋_GBK" w:cs="宋体"/>
          <w:bCs/>
          <w:kern w:val="0"/>
          <w:sz w:val="44"/>
          <w:szCs w:val="44"/>
          <w:u w:val="none"/>
          <w:lang w:val="en-US" w:eastAsia="zh-CN"/>
        </w:rPr>
        <w:t>商务和投资促进局</w:t>
      </w:r>
    </w:p>
    <w:p>
      <w:pPr>
        <w:widowControl/>
        <w:spacing w:line="600" w:lineRule="exact"/>
        <w:jc w:val="center"/>
        <w:rPr>
          <w:rFonts w:hint="eastAsia"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lang w:val="en-US" w:eastAsia="zh-CN"/>
        </w:rPr>
        <w:t>2022年外贸发展专项资金</w:t>
      </w:r>
      <w:r>
        <w:rPr>
          <w:rFonts w:hint="eastAsia" w:ascii="方正小标宋_GBK" w:hAnsi="宋体" w:eastAsia="方正小标宋_GBK" w:cs="宋体"/>
          <w:bCs/>
          <w:kern w:val="0"/>
          <w:sz w:val="44"/>
          <w:szCs w:val="44"/>
          <w:u w:val="none"/>
        </w:rPr>
        <w:t>项目</w:t>
      </w:r>
    </w:p>
    <w:p>
      <w:pPr>
        <w:widowControl/>
        <w:spacing w:line="600" w:lineRule="exact"/>
        <w:jc w:val="center"/>
        <w:rPr>
          <w:rFonts w:hint="eastAsia"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rPr>
        <w:t>支出绩效评价报告</w:t>
      </w:r>
    </w:p>
    <w:p>
      <w:pPr>
        <w:widowControl/>
        <w:spacing w:line="600" w:lineRule="exact"/>
        <w:jc w:val="center"/>
        <w:rPr>
          <w:rFonts w:hint="eastAsia" w:ascii="方正小标宋_GBK" w:hAnsi="宋体" w:eastAsia="方正小标宋_GBK" w:cs="宋体"/>
          <w:bCs/>
          <w:kern w:val="0"/>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3年度</w:t>
      </w:r>
      <w:r>
        <w:rPr>
          <w:rFonts w:hint="eastAsia" w:ascii="仿宋_GB2312" w:eastAsia="仿宋_GB2312"/>
          <w:sz w:val="32"/>
          <w:szCs w:val="32"/>
        </w:rPr>
        <w:t>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为促进我县开放型经济高质量发展；落实我县稳外贸措施；拨付2022年外贸发展专项资金</w:t>
      </w:r>
      <w:r>
        <w:rPr>
          <w:rFonts w:hint="eastAsia" w:ascii="仿宋_GB2312" w:hAnsi="仿宋_GB2312" w:eastAsia="仿宋_GB2312" w:cs="仿宋_GB2312"/>
          <w:sz w:val="32"/>
          <w:szCs w:val="32"/>
          <w:lang w:val="en-US" w:eastAsia="zh-CN"/>
        </w:rPr>
        <w:t>429.75万元</w:t>
      </w:r>
      <w:r>
        <w:rPr>
          <w:rFonts w:hint="eastAsia" w:ascii="仿宋_GB2312" w:hAnsi="仿宋_GB2312" w:eastAsia="仿宋_GB2312" w:cs="仿宋_GB2312"/>
          <w:sz w:val="32"/>
          <w:szCs w:val="32"/>
          <w:lang w:eastAsia="zh-CN"/>
        </w:rPr>
        <w:t>。</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有效</w:t>
      </w:r>
      <w:r>
        <w:rPr>
          <w:rFonts w:hint="eastAsia" w:ascii="仿宋_GB2312" w:hAnsi="仿宋_GB2312" w:eastAsia="仿宋_GB2312" w:cs="仿宋_GB2312"/>
          <w:sz w:val="32"/>
          <w:szCs w:val="32"/>
          <w:lang w:val="en-US" w:eastAsia="zh-CN"/>
        </w:rPr>
        <w:t>促进我县外贸企业发展，积极落实我县稳外贸措施，发放</w:t>
      </w:r>
      <w:r>
        <w:rPr>
          <w:rFonts w:hint="eastAsia" w:ascii="仿宋_GB2312" w:hAnsi="仿宋_GB2312" w:eastAsia="仿宋_GB2312" w:cs="仿宋_GB2312"/>
          <w:sz w:val="32"/>
          <w:szCs w:val="32"/>
          <w:lang w:eastAsia="zh-CN"/>
        </w:rPr>
        <w:t>2022年外贸发展专项资金。</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w:t>
      </w:r>
      <w:r>
        <w:rPr>
          <w:rFonts w:hint="eastAsia" w:ascii="仿宋_GB2312" w:eastAsia="仿宋_GB2312"/>
          <w:sz w:val="32"/>
          <w:szCs w:val="32"/>
          <w:lang w:val="en-US" w:eastAsia="zh-CN"/>
        </w:rPr>
        <w:t>张丽华</w:t>
      </w:r>
      <w:r>
        <w:rPr>
          <w:rFonts w:hint="eastAsia" w:ascii="仿宋_GB2312" w:eastAsia="仿宋_GB2312"/>
          <w:sz w:val="32"/>
          <w:szCs w:val="32"/>
        </w:rPr>
        <w:t>任组长，由办公室主任</w:t>
      </w:r>
      <w:r>
        <w:rPr>
          <w:rFonts w:hint="eastAsia" w:ascii="仿宋_GB2312" w:eastAsia="仿宋_GB2312"/>
          <w:sz w:val="32"/>
          <w:szCs w:val="32"/>
          <w:lang w:val="en-US" w:eastAsia="zh-CN"/>
        </w:rPr>
        <w:t>丁立超</w:t>
      </w:r>
      <w:r>
        <w:rPr>
          <w:rFonts w:hint="eastAsia" w:ascii="仿宋_GB2312" w:eastAsia="仿宋_GB2312"/>
          <w:sz w:val="32"/>
          <w:szCs w:val="32"/>
        </w:rPr>
        <w:t>、</w:t>
      </w:r>
      <w:r>
        <w:rPr>
          <w:rFonts w:hint="eastAsia" w:ascii="仿宋_GB2312" w:eastAsia="仿宋_GB2312"/>
          <w:sz w:val="32"/>
          <w:szCs w:val="32"/>
          <w:lang w:val="en-US" w:eastAsia="zh-CN"/>
        </w:rPr>
        <w:t>对外贸易科</w:t>
      </w:r>
      <w:bookmarkStart w:id="0" w:name="_GoBack"/>
      <w:bookmarkEnd w:id="0"/>
      <w:r>
        <w:rPr>
          <w:rFonts w:hint="eastAsia" w:ascii="仿宋_GB2312" w:eastAsia="仿宋_GB2312"/>
          <w:sz w:val="32"/>
          <w:szCs w:val="32"/>
        </w:rPr>
        <w:t>科长</w:t>
      </w:r>
      <w:r>
        <w:rPr>
          <w:rFonts w:hint="eastAsia" w:ascii="仿宋_GB2312" w:eastAsia="仿宋_GB2312"/>
          <w:sz w:val="32"/>
          <w:szCs w:val="32"/>
          <w:lang w:val="en-US" w:eastAsia="zh-CN"/>
        </w:rPr>
        <w:t>王洪娥</w:t>
      </w:r>
      <w:r>
        <w:rPr>
          <w:rFonts w:hint="eastAsia" w:ascii="仿宋_GB2312" w:eastAsia="仿宋_GB2312"/>
          <w:sz w:val="32"/>
          <w:szCs w:val="32"/>
        </w:rPr>
        <w:t>共</w:t>
      </w:r>
      <w:r>
        <w:rPr>
          <w:rFonts w:hint="eastAsia" w:ascii="仿宋_GB2312" w:eastAsia="仿宋_GB2312"/>
          <w:sz w:val="32"/>
          <w:szCs w:val="32"/>
          <w:lang w:val="en-US" w:eastAsia="zh-CN"/>
        </w:rPr>
        <w:t>3</w:t>
      </w:r>
      <w:r>
        <w:rPr>
          <w:rFonts w:hint="eastAsia" w:ascii="仿宋_GB2312" w:eastAsia="仿宋_GB2312"/>
          <w:sz w:val="32"/>
          <w:szCs w:val="32"/>
        </w:rPr>
        <w:t>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为进一步健全政府绩效管理制度，提高财政资金使用效益，开展预算绩效管理，全面推进预算绩效管理是建设节约政府和服务政府、提高政府行政效能的重要举措，有利于优化公共资源配置，有利于提高公共服务质量，有利于增强预算支出主体责任。</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（三）绩效评价原则、评价指标体系、评价方法、评价标准等。</w:t>
      </w:r>
    </w:p>
    <w:p>
      <w:pPr>
        <w:keepNext w:val="0"/>
        <w:keepLines w:val="0"/>
        <w:pageBreakBefore w:val="0"/>
        <w:widowControl/>
        <w:kinsoku/>
        <w:wordWrap/>
        <w:overflowPunct/>
        <w:topLinePunct w:val="0"/>
        <w:autoSpaceDE/>
        <w:autoSpaceDN/>
        <w:bidi w:val="0"/>
        <w:adjustRightInd/>
        <w:snapToGrid/>
        <w:spacing w:line="480" w:lineRule="auto"/>
        <w:ind w:firstLine="640" w:firstLineChars="200"/>
        <w:jc w:val="left"/>
        <w:textAlignment w:val="auto"/>
        <w:rPr>
          <w:rFonts w:hint="eastAsia" w:ascii="仿宋_GB2312" w:eastAsia="仿宋_GB2312"/>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按照“先易后难、逐步推开”的原则，建立健全预算绩效管理制度，将所有财政性资金纳入预算绩效管理范围，形成预算绩效管理长效机制。预算绩效管理工作范围覆盖所有财政性资金。重点做好年度预算安排的项目支出及部门整体支出绩效管理；尤其重点做好重大民生项目、重大公益性项目、专业性技术性较强的项目、资金使用效益不明显的项目、数额较大的项目及财政扶持经济社会发展政策资金等六类项目的绩效管理。</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eastAsia="仿宋_GB2312"/>
          <w:sz w:val="32"/>
          <w:szCs w:val="32"/>
          <w:lang w:val="en-US" w:eastAsia="zh-CN"/>
        </w:rPr>
      </w:pPr>
      <w:r>
        <w:rPr>
          <w:rFonts w:hint="eastAsia" w:ascii="仿宋_GB2312" w:hAnsi="仿宋_GB2312" w:eastAsia="仿宋_GB2312" w:cs="仿宋_GB2312"/>
          <w:sz w:val="32"/>
          <w:szCs w:val="32"/>
          <w:lang w:eastAsia="zh-CN"/>
        </w:rPr>
        <w:t>2022年外贸发展专项资金</w:t>
      </w:r>
      <w:r>
        <w:rPr>
          <w:rFonts w:hint="eastAsia" w:ascii="仿宋_GB2312" w:hAnsi="仿宋_GB2312" w:eastAsia="仿宋_GB2312" w:cs="仿宋_GB2312"/>
          <w:sz w:val="32"/>
          <w:szCs w:val="32"/>
          <w:lang w:val="en-US" w:eastAsia="zh-CN"/>
        </w:rPr>
        <w:t>项目</w:t>
      </w:r>
      <w:r>
        <w:rPr>
          <w:rFonts w:hint="eastAsia" w:ascii="仿宋_GB2312" w:eastAsia="仿宋_GB2312"/>
          <w:sz w:val="32"/>
          <w:szCs w:val="32"/>
        </w:rPr>
        <w:t>立项依据充分,目标合理，方案可行，资金测算科学</w:t>
      </w:r>
      <w:r>
        <w:rPr>
          <w:rFonts w:hint="eastAsia" w:ascii="仿宋_GB2312" w:eastAsia="仿宋_GB2312"/>
          <w:sz w:val="32"/>
          <w:szCs w:val="32"/>
          <w:lang w:eastAsia="zh-CN"/>
        </w:rPr>
        <w:t>，</w:t>
      </w:r>
      <w:r>
        <w:rPr>
          <w:rFonts w:hint="eastAsia" w:ascii="仿宋_GB2312" w:eastAsia="仿宋_GB2312"/>
          <w:sz w:val="32"/>
          <w:szCs w:val="32"/>
          <w:lang w:val="en-US" w:eastAsia="zh-CN"/>
        </w:rPr>
        <w:t>支出符合财政各项规定。</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hAnsi="仿宋_GB2312" w:eastAsia="仿宋_GB2312" w:cs="仿宋_GB2312"/>
          <w:sz w:val="32"/>
          <w:szCs w:val="32"/>
          <w:lang w:eastAsia="zh-CN"/>
        </w:rPr>
        <w:t>2022年外贸发展专项资金</w:t>
      </w:r>
      <w:r>
        <w:rPr>
          <w:rFonts w:hint="eastAsia" w:ascii="仿宋_GB2312" w:eastAsia="仿宋_GB2312"/>
          <w:sz w:val="32"/>
          <w:szCs w:val="32"/>
        </w:rPr>
        <w:t>项目，所需资金</w:t>
      </w:r>
      <w:r>
        <w:rPr>
          <w:rFonts w:hint="eastAsia" w:ascii="仿宋_GB2312" w:eastAsia="仿宋_GB2312"/>
          <w:sz w:val="32"/>
          <w:szCs w:val="32"/>
          <w:lang w:val="en-US" w:eastAsia="zh-CN"/>
        </w:rPr>
        <w:t>429.75</w:t>
      </w:r>
      <w:r>
        <w:rPr>
          <w:rFonts w:hint="eastAsia" w:ascii="仿宋_GB2312" w:eastAsia="仿宋_GB2312"/>
          <w:sz w:val="32"/>
          <w:szCs w:val="32"/>
        </w:rPr>
        <w:t>万元全部为</w:t>
      </w:r>
      <w:r>
        <w:rPr>
          <w:rFonts w:hint="eastAsia" w:ascii="仿宋_GB2312" w:eastAsia="仿宋_GB2312"/>
          <w:sz w:val="32"/>
          <w:szCs w:val="32"/>
          <w:lang w:val="en-US" w:eastAsia="zh-CN"/>
        </w:rPr>
        <w:t>上级专款资金</w:t>
      </w:r>
      <w:r>
        <w:rPr>
          <w:rFonts w:hint="eastAsia" w:ascii="仿宋_GB2312" w:eastAsia="仿宋_GB2312"/>
          <w:sz w:val="32"/>
          <w:szCs w:val="32"/>
        </w:rPr>
        <w:t>，</w:t>
      </w:r>
      <w:r>
        <w:rPr>
          <w:rFonts w:ascii="仿宋_GB2312" w:eastAsia="仿宋_GB2312"/>
          <w:sz w:val="32"/>
          <w:szCs w:val="32"/>
        </w:rPr>
        <w:t>资金来源渠道明确、合法合规，符合财政事权与支出责任相适应的原则</w:t>
      </w:r>
      <w:r>
        <w:rPr>
          <w:rFonts w:hint="eastAsia" w:ascii="仿宋_GB2312" w:eastAsia="仿宋_GB2312"/>
          <w:sz w:val="32"/>
          <w:szCs w:val="32"/>
        </w:rPr>
        <w:t>。</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经研究决定，</w:t>
      </w:r>
      <w:r>
        <w:rPr>
          <w:rFonts w:hint="eastAsia" w:ascii="仿宋_GB2312" w:hAnsi="仿宋_GB2312" w:eastAsia="仿宋_GB2312" w:cs="仿宋_GB2312"/>
          <w:sz w:val="32"/>
          <w:szCs w:val="32"/>
          <w:lang w:eastAsia="zh-CN"/>
        </w:rPr>
        <w:t>2022年外贸发展专项资金</w:t>
      </w:r>
      <w:r>
        <w:rPr>
          <w:rFonts w:hint="eastAsia" w:ascii="仿宋" w:hAnsi="仿宋" w:eastAsia="仿宋"/>
          <w:color w:val="000000"/>
          <w:sz w:val="32"/>
          <w:szCs w:val="32"/>
          <w:lang w:val="en-US" w:eastAsia="zh-CN"/>
        </w:rPr>
        <w:t>项目</w:t>
      </w:r>
      <w:r>
        <w:rPr>
          <w:rFonts w:ascii="仿宋_GB2312" w:eastAsia="仿宋_GB2312"/>
          <w:sz w:val="32"/>
          <w:szCs w:val="32"/>
        </w:rPr>
        <w:t>立项依据充分，属于财政事权范围，具有现实紧迫性，相同或相近领域</w:t>
      </w:r>
      <w:r>
        <w:rPr>
          <w:rFonts w:hint="eastAsia" w:ascii="仿宋_GB2312" w:eastAsia="仿宋_GB2312"/>
          <w:sz w:val="32"/>
          <w:szCs w:val="32"/>
        </w:rPr>
        <w:t>无</w:t>
      </w:r>
      <w:r>
        <w:rPr>
          <w:rFonts w:ascii="仿宋_GB2312" w:eastAsia="仿宋_GB2312"/>
          <w:sz w:val="32"/>
          <w:szCs w:val="32"/>
        </w:rPr>
        <w:t>用途相似的预算安排，</w:t>
      </w:r>
      <w:r>
        <w:rPr>
          <w:rFonts w:hint="eastAsia" w:ascii="仿宋_GB2312" w:eastAsia="仿宋_GB2312"/>
          <w:sz w:val="32"/>
          <w:szCs w:val="32"/>
        </w:rPr>
        <w:t>不具有</w:t>
      </w:r>
      <w:r>
        <w:rPr>
          <w:rFonts w:ascii="仿宋_GB2312" w:eastAsia="仿宋_GB2312"/>
          <w:sz w:val="32"/>
          <w:szCs w:val="32"/>
        </w:rPr>
        <w:t>可替代性。</w:t>
      </w:r>
      <w:r>
        <w:rPr>
          <w:rFonts w:hint="eastAsia" w:ascii="仿宋_GB2312" w:eastAsia="仿宋_GB2312"/>
          <w:sz w:val="32"/>
          <w:szCs w:val="32"/>
          <w:lang w:val="en-US" w:eastAsia="zh-CN"/>
        </w:rPr>
        <w:t>2023年度，</w:t>
      </w:r>
      <w:r>
        <w:rPr>
          <w:rFonts w:hint="eastAsia" w:ascii="仿宋_GB2312" w:hAnsi="仿宋_GB2312" w:eastAsia="仿宋_GB2312" w:cs="仿宋_GB2312"/>
          <w:sz w:val="32"/>
          <w:szCs w:val="32"/>
          <w:lang w:eastAsia="zh-CN"/>
        </w:rPr>
        <w:t>2022年外贸发展专项资金</w:t>
      </w:r>
      <w:r>
        <w:rPr>
          <w:rFonts w:hint="eastAsia" w:ascii="仿宋_GB2312" w:hAnsi="仿宋_GB2312" w:eastAsia="仿宋_GB2312" w:cs="仿宋_GB2312"/>
          <w:sz w:val="32"/>
          <w:szCs w:val="32"/>
          <w:lang w:val="en-US" w:eastAsia="zh-CN"/>
        </w:rPr>
        <w:t>429.75</w:t>
      </w:r>
      <w:r>
        <w:rPr>
          <w:rFonts w:hint="eastAsia" w:ascii="仿宋_GB2312" w:eastAsia="仿宋_GB2312"/>
          <w:sz w:val="32"/>
          <w:szCs w:val="32"/>
          <w:lang w:val="en-US" w:eastAsia="zh-CN"/>
        </w:rPr>
        <w:t>万元，截至2023年12月31日，</w:t>
      </w:r>
      <w:r>
        <w:rPr>
          <w:rFonts w:hint="eastAsia" w:ascii="仿宋_GB2312" w:hAnsi="仿宋_GB2312" w:eastAsia="仿宋_GB2312" w:cs="仿宋_GB2312"/>
          <w:sz w:val="32"/>
          <w:szCs w:val="32"/>
          <w:lang w:eastAsia="zh-CN"/>
        </w:rPr>
        <w:t>2022年外贸发展专项资金</w:t>
      </w:r>
      <w:r>
        <w:rPr>
          <w:rFonts w:hint="eastAsia" w:ascii="仿宋_GB2312" w:eastAsia="仿宋_GB2312"/>
          <w:sz w:val="32"/>
          <w:szCs w:val="32"/>
          <w:lang w:val="en-US" w:eastAsia="zh-CN"/>
        </w:rPr>
        <w:t>已经拨付429.75万元，资金到位率为100%。在</w:t>
      </w:r>
      <w:r>
        <w:rPr>
          <w:rFonts w:hint="eastAsia" w:ascii="仿宋_GB2312" w:hAnsi="仿宋_GB2312" w:eastAsia="仿宋_GB2312" w:cs="仿宋_GB2312"/>
          <w:sz w:val="32"/>
          <w:szCs w:val="32"/>
          <w:lang w:eastAsia="zh-CN"/>
        </w:rPr>
        <w:t>2022年外贸发展专项资金</w:t>
      </w:r>
      <w:r>
        <w:rPr>
          <w:rFonts w:hint="eastAsia" w:ascii="仿宋_GB2312" w:eastAsia="仿宋_GB2312"/>
          <w:sz w:val="32"/>
          <w:szCs w:val="32"/>
          <w:lang w:val="en-US" w:eastAsia="zh-CN"/>
        </w:rPr>
        <w:t>的使用管理上，严格遵守财经纪律，成立了</w:t>
      </w:r>
      <w:r>
        <w:rPr>
          <w:rFonts w:hint="eastAsia" w:ascii="仿宋_GB2312" w:hAnsi="仿宋_GB2312" w:eastAsia="仿宋_GB2312" w:cs="仿宋_GB2312"/>
          <w:sz w:val="32"/>
          <w:szCs w:val="32"/>
          <w:lang w:eastAsia="zh-CN"/>
        </w:rPr>
        <w:t>2022年外贸发展专项资金</w:t>
      </w:r>
      <w:r>
        <w:rPr>
          <w:rFonts w:hint="eastAsia" w:ascii="仿宋_GB2312" w:eastAsia="仿宋_GB2312"/>
          <w:sz w:val="32"/>
          <w:szCs w:val="32"/>
          <w:lang w:val="en-US" w:eastAsia="zh-CN"/>
        </w:rPr>
        <w:t>使用工作小组，由局长胡旭旺担任组长，三级主任科员张丽华担任副组长，办公室主任丁立超，对外贸易科科长王洪娥为组员的组织机构。严格按照2023年度工作计划，确保资金准确及时到位，坚持专款专用，充分发挥资金效益。按照现行资金管理办法的要求，对项目资金进行严格的审批、支付等各项管理制度，无挤占、截留、挪用、骗取、套取、浪费</w:t>
      </w:r>
      <w:r>
        <w:rPr>
          <w:rFonts w:hint="eastAsia" w:ascii="仿宋_GB2312" w:hAnsi="仿宋_GB2312" w:eastAsia="仿宋_GB2312" w:cs="仿宋_GB2312"/>
          <w:sz w:val="32"/>
          <w:szCs w:val="32"/>
          <w:lang w:eastAsia="zh-CN"/>
        </w:rPr>
        <w:t>2022年外贸发展专项资金</w:t>
      </w:r>
      <w:r>
        <w:rPr>
          <w:rFonts w:hint="eastAsia" w:ascii="仿宋_GB2312" w:eastAsia="仿宋_GB2312"/>
          <w:sz w:val="32"/>
          <w:szCs w:val="32"/>
          <w:lang w:val="en-US" w:eastAsia="zh-CN"/>
        </w:rPr>
        <w:t>的行为。</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hAnsi="Times New Roman" w:eastAsia="仿宋_GB2312" w:cs="Times New Roman"/>
          <w:sz w:val="32"/>
          <w:szCs w:val="32"/>
          <w:lang w:val="en-US" w:eastAsia="zh-CN"/>
        </w:rPr>
      </w:pPr>
      <w:r>
        <w:rPr>
          <w:rFonts w:hint="eastAsia" w:ascii="仿宋_GB2312" w:eastAsia="仿宋_GB2312" w:cs="Times New Roman"/>
          <w:sz w:val="32"/>
          <w:szCs w:val="32"/>
          <w:lang w:val="en-US" w:eastAsia="zh-CN"/>
        </w:rPr>
        <w:t>有效刺激了我县外贸企业的发展，对唐山国芯晶源电子有限公司等县内23家企业拨付了</w:t>
      </w:r>
      <w:r>
        <w:rPr>
          <w:rFonts w:hint="eastAsia" w:ascii="仿宋_GB2312" w:hAnsi="仿宋_GB2312" w:eastAsia="仿宋_GB2312" w:cs="仿宋_GB2312"/>
          <w:sz w:val="32"/>
          <w:szCs w:val="32"/>
          <w:lang w:eastAsia="zh-CN"/>
        </w:rPr>
        <w:t>2022年外贸发展专项资金</w:t>
      </w:r>
      <w:r>
        <w:rPr>
          <w:rFonts w:hint="eastAsia" w:ascii="仿宋_GB2312" w:eastAsia="仿宋_GB2312"/>
          <w:sz w:val="32"/>
          <w:szCs w:val="32"/>
          <w:lang w:val="en-US" w:eastAsia="zh-CN"/>
        </w:rPr>
        <w:t>共计429.75万元，转型升级项目数量为10个，进口产品质量合格率达80%以上</w:t>
      </w:r>
      <w:r>
        <w:rPr>
          <w:rFonts w:hint="eastAsia" w:ascii="仿宋_GB2312" w:hAnsi="Times New Roman" w:eastAsia="仿宋_GB2312" w:cs="Times New Roman"/>
          <w:sz w:val="32"/>
          <w:szCs w:val="32"/>
          <w:lang w:val="en-US" w:eastAsia="zh-CN"/>
        </w:rPr>
        <w:t>。</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cs="Times New Roman"/>
          <w:sz w:val="32"/>
          <w:szCs w:val="32"/>
          <w:lang w:val="en-US" w:eastAsia="zh-CN"/>
        </w:rPr>
        <w:t>税收增长率均达到20%</w:t>
      </w:r>
      <w:r>
        <w:rPr>
          <w:rFonts w:hint="eastAsia" w:ascii="仿宋_GB2312" w:eastAsia="仿宋_GB2312"/>
          <w:sz w:val="32"/>
          <w:szCs w:val="32"/>
          <w:lang w:val="en-US" w:eastAsia="zh-CN"/>
        </w:rPr>
        <w:t>以上，有效促进外贸企业发展，</w:t>
      </w:r>
      <w:r>
        <w:rPr>
          <w:rFonts w:hint="eastAsia" w:ascii="仿宋_GB2312" w:eastAsia="仿宋_GB2312" w:cs="Times New Roman"/>
          <w:sz w:val="32"/>
          <w:szCs w:val="32"/>
          <w:lang w:val="en-US" w:eastAsia="zh-CN"/>
        </w:rPr>
        <w:t>资金拨付率为100%，</w:t>
      </w:r>
      <w:r>
        <w:rPr>
          <w:rFonts w:hint="eastAsia" w:ascii="方正仿宋简体" w:hAnsi="Times New Roman" w:eastAsia="方正仿宋简体" w:cs="Times New Roman"/>
          <w:sz w:val="32"/>
          <w:szCs w:val="32"/>
          <w:lang w:val="en-US" w:eastAsia="zh-CN"/>
        </w:rPr>
        <w:t>收到了</w:t>
      </w:r>
      <w:r>
        <w:rPr>
          <w:rFonts w:hint="eastAsia" w:ascii="仿宋_GB2312" w:hAnsi="仿宋_GB2312" w:eastAsia="仿宋_GB2312" w:cs="仿宋_GB2312"/>
          <w:sz w:val="32"/>
          <w:szCs w:val="32"/>
          <w:lang w:eastAsia="zh-CN"/>
        </w:rPr>
        <w:t>外资外贸</w:t>
      </w:r>
      <w:r>
        <w:rPr>
          <w:rFonts w:hint="eastAsia" w:ascii="方正仿宋简体" w:hAnsi="Times New Roman" w:eastAsia="方正仿宋简体" w:cs="Times New Roman"/>
          <w:sz w:val="32"/>
          <w:szCs w:val="32"/>
          <w:lang w:val="en-US" w:eastAsia="zh-CN"/>
        </w:rPr>
        <w:t>企业和广大人民群众的一致好评，取得了良好的社会效益</w:t>
      </w:r>
      <w:r>
        <w:rPr>
          <w:rFonts w:hint="eastAsia" w:ascii="方正仿宋简体" w:hAnsi="Times New Roman" w:eastAsia="方正仿宋简体" w:cs="Times New Roman"/>
          <w:sz w:val="32"/>
          <w:szCs w:val="32"/>
        </w:rPr>
        <w:t>。</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为做好预算绩效考核的各项工作，我局初步建立了财政预算绩效管理相关制度和工作机制，稳步推进预算绩效管理工作，进一步优化了公共资源配置，提高了公共服务质量，增强了预算支出主体责任。</w:t>
      </w:r>
    </w:p>
    <w:p>
      <w:pPr>
        <w:spacing w:line="600" w:lineRule="exact"/>
        <w:ind w:firstLine="640" w:firstLineChars="200"/>
        <w:rPr>
          <w:rFonts w:hint="eastAsia" w:eastAsia="黑体"/>
          <w:sz w:val="32"/>
          <w:szCs w:val="32"/>
        </w:rPr>
      </w:pPr>
      <w:r>
        <w:rPr>
          <w:rFonts w:hint="eastAsia" w:eastAsia="黑体"/>
          <w:sz w:val="32"/>
          <w:szCs w:val="32"/>
        </w:rPr>
        <w:t>六、有关建议</w:t>
      </w:r>
    </w:p>
    <w:p>
      <w:pPr>
        <w:keepNext w:val="0"/>
        <w:keepLines w:val="0"/>
        <w:pageBreakBefore w:val="0"/>
        <w:widowControl/>
        <w:numPr>
          <w:ilvl w:val="0"/>
          <w:numId w:val="0"/>
        </w:numPr>
        <w:kinsoku/>
        <w:wordWrap/>
        <w:overflowPunct/>
        <w:topLinePunct w:val="0"/>
        <w:autoSpaceDE/>
        <w:autoSpaceDN/>
        <w:bidi w:val="0"/>
        <w:adjustRightInd/>
        <w:snapToGrid/>
        <w:spacing w:line="480" w:lineRule="auto"/>
        <w:ind w:firstLine="640" w:firstLineChars="200"/>
        <w:jc w:val="left"/>
        <w:textAlignment w:val="auto"/>
        <w:rPr>
          <w:rFonts w:hint="default" w:ascii="Times New Roman" w:hAnsi="Times New Roman" w:eastAsia="黑体" w:cs="Times New Roman"/>
          <w:sz w:val="32"/>
          <w:szCs w:val="32"/>
          <w:lang w:val="en-US" w:eastAsia="zh-CN"/>
        </w:rPr>
      </w:pPr>
      <w:r>
        <w:rPr>
          <w:rFonts w:hint="eastAsia" w:ascii="仿宋_GB2312" w:hAnsi="仿宋_GB2312" w:eastAsia="仿宋_GB2312" w:cs="仿宋_GB2312"/>
          <w:i w:val="0"/>
          <w:caps w:val="0"/>
          <w:color w:val="333333"/>
          <w:spacing w:val="0"/>
          <w:sz w:val="32"/>
          <w:szCs w:val="32"/>
          <w:shd w:val="clear" w:color="auto" w:fill="FFFFFF"/>
          <w:lang w:val="en-US" w:eastAsia="zh-CN"/>
        </w:rPr>
        <w:t>今后，我局将继续加强预算绩效监督管理工作，建立确实可行的内部控制制度，为预算绩效管理开展提供相应的指导和监督，及时整改发现的问题，确保预算绩效管理工作顺利进行。</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keepNext w:val="0"/>
        <w:keepLines w:val="0"/>
        <w:pageBreakBefore w:val="0"/>
        <w:widowControl/>
        <w:numPr>
          <w:ilvl w:val="0"/>
          <w:numId w:val="0"/>
        </w:numPr>
        <w:kinsoku/>
        <w:wordWrap/>
        <w:overflowPunct/>
        <w:topLinePunct w:val="0"/>
        <w:autoSpaceDE/>
        <w:autoSpaceDN/>
        <w:bidi w:val="0"/>
        <w:adjustRightInd/>
        <w:snapToGrid/>
        <w:spacing w:line="48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color="auto" w:fill="FFFFFF"/>
          <w:lang w:val="en-US" w:eastAsia="zh-CN"/>
        </w:rPr>
      </w:pPr>
      <w:r>
        <w:rPr>
          <w:rFonts w:hint="eastAsia" w:ascii="仿宋_GB2312" w:hAnsi="仿宋_GB2312" w:eastAsia="仿宋_GB2312" w:cs="仿宋_GB2312"/>
          <w:i w:val="0"/>
          <w:caps w:val="0"/>
          <w:color w:val="333333"/>
          <w:spacing w:val="0"/>
          <w:sz w:val="32"/>
          <w:szCs w:val="32"/>
          <w:shd w:val="clear" w:color="auto" w:fill="FFFFFF"/>
          <w:lang w:val="en-US" w:eastAsia="zh-CN"/>
        </w:rPr>
        <w:t>无。</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BA33D64"/>
    <w:rsid w:val="0CBC7884"/>
    <w:rsid w:val="0FD13331"/>
    <w:rsid w:val="1D0A0FB8"/>
    <w:rsid w:val="1D9A6920"/>
    <w:rsid w:val="29F2743A"/>
    <w:rsid w:val="34614ACA"/>
    <w:rsid w:val="44787793"/>
    <w:rsid w:val="4595474B"/>
    <w:rsid w:val="49D67DF9"/>
    <w:rsid w:val="4B525DE9"/>
    <w:rsid w:val="51163C25"/>
    <w:rsid w:val="51D879E2"/>
    <w:rsid w:val="52A446D9"/>
    <w:rsid w:val="552E231E"/>
    <w:rsid w:val="5A322E92"/>
    <w:rsid w:val="5EBB696B"/>
    <w:rsid w:val="63AF0C61"/>
    <w:rsid w:val="645769AB"/>
    <w:rsid w:val="68AD3D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5</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2024-04-22T01:51:57Z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