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default" w:ascii="仿宋" w:hAnsi="仿宋" w:eastAsia="仿宋" w:cs="仿宋"/>
          <w:b/>
          <w:bCs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52"/>
          <w:szCs w:val="52"/>
          <w:lang w:val="en-US" w:eastAsia="zh-CN"/>
        </w:rPr>
        <w:t>玉田县商务和投资促进局</w:t>
      </w:r>
    </w:p>
    <w:p>
      <w:pPr>
        <w:jc w:val="center"/>
        <w:rPr>
          <w:rFonts w:hint="eastAsia" w:ascii="仿宋" w:hAnsi="仿宋" w:eastAsia="仿宋" w:cs="仿宋"/>
          <w:b/>
          <w:bCs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玉田县商务和投资促进局（加盖公章）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0315-6190900   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369.1786532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369.1786532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0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Theme="majorEastAsia" w:hAnsiTheme="majorEastAsia" w:eastAsiaTheme="majorEastAsia" w:cstheme="majorEastAsia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Theme="majorEastAsia" w:hAnsiTheme="majorEastAsia" w:eastAsiaTheme="majorEastAsia" w:cstheme="majorEastAsia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在县委、县政府的正确领导下，紧紧围绕县委、县政府中心工作，坚持贯彻新发展理念，把牢“两稳一促”重心，积极应对，克难攻坚，履职尽责，确保商务领域各项工作承压前行，稳中有进，为建设“科创商贸名城，京东魅力玉田”贡献力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加大限上贸易企业培育力度，保证2024年内培育入统新增限额以上贸易企业不少于10家；确保招商引资工作再上新台阶，完善奖惩制度，建立项目台账，着力做好招商引资对外开放工作；多措并举，鼓励拉动全县消费市场稳步回升，力争2024年全县社会消费品零售总额增长7%；精准帮扶，加强服务，保障外资外贸基本盘进，力争2024年出口总值增长5.5%，实际利用外资增长5%；依托玉田县2021年电子商务进农村综合示范县项目，认真谋划，电子商务工作实现新突破；积极应对，主动作为，协调推进玉田临港产业园项目工作进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2"/>
          <w:szCs w:val="22"/>
          <w:lang w:val="en-US" w:eastAsia="zh-CN"/>
        </w:rPr>
        <w:t>304玉田县商务和投资促进局本级</w:t>
      </w: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单位：万元</w:t>
      </w:r>
    </w:p>
    <w:tbl>
      <w:tblPr>
        <w:tblStyle w:val="7"/>
        <w:tblW w:w="480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104"/>
        <w:gridCol w:w="1008"/>
        <w:gridCol w:w="3156"/>
        <w:gridCol w:w="624"/>
        <w:gridCol w:w="444"/>
        <w:gridCol w:w="324"/>
        <w:gridCol w:w="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7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15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1927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1118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7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15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1927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3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27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1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26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招商经费</w:t>
            </w:r>
          </w:p>
        </w:tc>
        <w:tc>
          <w:tcPr>
            <w:tcW w:w="6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32</w:t>
            </w:r>
          </w:p>
        </w:tc>
        <w:tc>
          <w:tcPr>
            <w:tcW w:w="6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招商引资</w:t>
            </w:r>
          </w:p>
        </w:tc>
        <w:tc>
          <w:tcPr>
            <w:tcW w:w="19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开展产业优势产业项目宣传推介活动数量≥4；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促成合作意向数≥2；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任务完成及时率≥80%；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资金成本≤32万元；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税收增长率≥80%；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经贸活动知名度，全方位、多渠道开展招商引资活动，有效宣传我县投资环境；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生态效益增长率≥80%；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促进贸易便利化效果提升，加大招商引资工作力度，有效促进我县产业升级；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企业满意度≥80%；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服务对象满意度≥80%；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满意率≥80%。</w:t>
            </w:r>
          </w:p>
        </w:tc>
        <w:tc>
          <w:tcPr>
            <w:tcW w:w="3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27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6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华唐服务外包呼叫中心项目职场租金</w:t>
            </w:r>
          </w:p>
        </w:tc>
        <w:tc>
          <w:tcPr>
            <w:tcW w:w="6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420</w:t>
            </w:r>
          </w:p>
        </w:tc>
        <w:tc>
          <w:tcPr>
            <w:tcW w:w="6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职场租赁</w:t>
            </w:r>
          </w:p>
        </w:tc>
        <w:tc>
          <w:tcPr>
            <w:tcW w:w="19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建设服务外包呼叫中心建设席位≥800；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培训出勤率（%）≥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按时拨付资金，及时将资金拨付到位；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项目总预算控制额≤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420万元；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设备使用率（%）≥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岗位配置率≥80%；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满足生态环保要求，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满足生态环保要求；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保证人才队伍可持续建设，建立长效机制，保证人才队伍可持续建设；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群众满意度（%）≥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上级部门领导认可≥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工作人员满意度≥80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%。</w:t>
            </w:r>
          </w:p>
        </w:tc>
        <w:tc>
          <w:tcPr>
            <w:tcW w:w="3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27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6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新增限上贸易企业奖励资金160万元</w:t>
            </w:r>
          </w:p>
        </w:tc>
        <w:tc>
          <w:tcPr>
            <w:tcW w:w="6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160</w:t>
            </w:r>
          </w:p>
        </w:tc>
        <w:tc>
          <w:tcPr>
            <w:tcW w:w="6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限上贸易企业奖励</w:t>
            </w:r>
          </w:p>
        </w:tc>
        <w:tc>
          <w:tcPr>
            <w:tcW w:w="19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限上贸易企业增速达标企业数量≥1家；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完成率≥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80%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各项工作完成及时率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≥90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资金成本≤160万元；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销售收入平均增长率（%）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≥20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项目实现功能，有效促进我县商贸企业发展活力；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项目实施后生态效益增长率≥80%；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持续服务率(%)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≥80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监管企业满意度≥80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满意度≥80%；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人民群众满意度≥80%。</w:t>
            </w:r>
          </w:p>
        </w:tc>
        <w:tc>
          <w:tcPr>
            <w:tcW w:w="3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27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6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聘用专职律师开展华唐服务外包项目立案法律诉讼经费</w:t>
            </w:r>
          </w:p>
        </w:tc>
        <w:tc>
          <w:tcPr>
            <w:tcW w:w="6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25</w:t>
            </w:r>
          </w:p>
        </w:tc>
        <w:tc>
          <w:tcPr>
            <w:tcW w:w="6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业务委托</w:t>
            </w:r>
          </w:p>
        </w:tc>
        <w:tc>
          <w:tcPr>
            <w:tcW w:w="19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调查企业户数≥2家；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立案审核通过率≥90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各项任务完成及时率（%）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≥80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资金成本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≤25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万元；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提高效率≥50%；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项目实现功能，较好解决合同纠纷案件；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生态效益增长率≥80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建立健全长效机制，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建立健全长效机制；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社会公众满意度（%）≥80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满意率≥80%；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服务对象满意比例≥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80%。</w:t>
            </w:r>
          </w:p>
        </w:tc>
        <w:tc>
          <w:tcPr>
            <w:tcW w:w="3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27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6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限上贸易企业奖励资金76.205万元</w:t>
            </w:r>
          </w:p>
        </w:tc>
        <w:tc>
          <w:tcPr>
            <w:tcW w:w="6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76.205</w:t>
            </w:r>
          </w:p>
        </w:tc>
        <w:tc>
          <w:tcPr>
            <w:tcW w:w="6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限上贸易企业奖励</w:t>
            </w:r>
          </w:p>
        </w:tc>
        <w:tc>
          <w:tcPr>
            <w:tcW w:w="19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限上贸易企业增速达标企业数量≥8家；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完成率≥80%；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各项工作完成及时率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≥90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资金成本≤77万元；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销售收入平均增长率（%）≥20%；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项目实现功能，有效促进我县商贸企业发展活力；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项目实施后生态效益增长率≥80%；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持续服务率(%)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监管企业满意度≥80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满意度≥80%；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人民群众满意度≥80。</w:t>
            </w:r>
          </w:p>
        </w:tc>
        <w:tc>
          <w:tcPr>
            <w:tcW w:w="3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27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6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2023年1-9月份新增限上贸易企业奖励资金</w:t>
            </w:r>
          </w:p>
        </w:tc>
        <w:tc>
          <w:tcPr>
            <w:tcW w:w="6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63.3058</w:t>
            </w:r>
          </w:p>
        </w:tc>
        <w:tc>
          <w:tcPr>
            <w:tcW w:w="6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限上贸易企业奖励</w:t>
            </w:r>
          </w:p>
        </w:tc>
        <w:tc>
          <w:tcPr>
            <w:tcW w:w="19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限上贸易企业增速达标企业数量≥2家；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完成率≥80%；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各项工作完成及时率≥80%；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资金成本≤64万元；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销售收入平均增长率（%）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≥50%；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项目实现功能，有效促进我县商贸企业发展；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项目实施后生态效益增长率≥80%；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持续服务率(%)≥80%；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监管企业满意度≥80%；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满意度≥80%；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人民群众满意度≥80。</w:t>
            </w:r>
          </w:p>
        </w:tc>
        <w:tc>
          <w:tcPr>
            <w:tcW w:w="3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27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6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限上贸易企业奖励资金30万元</w:t>
            </w:r>
          </w:p>
        </w:tc>
        <w:tc>
          <w:tcPr>
            <w:tcW w:w="6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30</w:t>
            </w:r>
          </w:p>
        </w:tc>
        <w:tc>
          <w:tcPr>
            <w:tcW w:w="6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培育限上贸易企业奖励</w:t>
            </w:r>
          </w:p>
        </w:tc>
        <w:tc>
          <w:tcPr>
            <w:tcW w:w="19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限上贸易企业增速达标企业数量≥8家；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完成率≥80%；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各项工作完成及时率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≥90%；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资金成本≤30万元；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销售收入平均增长率（%）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≥20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项目实现功能，有效促进我县商贸企业发展活力；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项目实施后生态效益增长率≥80%；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持续服务率(%)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≥80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监管企业满意度≥80%；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满意度≥80%；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人民群众满意度≥80%。</w:t>
            </w:r>
          </w:p>
        </w:tc>
        <w:tc>
          <w:tcPr>
            <w:tcW w:w="3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27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6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外资、限上电商企业奖励资金</w:t>
            </w:r>
          </w:p>
        </w:tc>
        <w:tc>
          <w:tcPr>
            <w:tcW w:w="6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108.33</w:t>
            </w:r>
          </w:p>
        </w:tc>
        <w:tc>
          <w:tcPr>
            <w:tcW w:w="6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奖励资金</w:t>
            </w:r>
          </w:p>
        </w:tc>
        <w:tc>
          <w:tcPr>
            <w:tcW w:w="19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外贸出口额≥500万美元；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专款专用率≥90%；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按工作计划完成比例≥80%；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总成本≤108.33万元；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销售收入平均增长率（%）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≥20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项目实现功能，有效促进我县商贸企业发展活力；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项目实施后生态效益增长率≥80%；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持续服务率(%)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≥80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%;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监管企业满意度≥80%;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满意度≥80%;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人民群众满意度≥80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。</w:t>
            </w:r>
          </w:p>
        </w:tc>
        <w:tc>
          <w:tcPr>
            <w:tcW w:w="3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27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6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新增限上贸易企业奖励资金</w:t>
            </w:r>
          </w:p>
        </w:tc>
        <w:tc>
          <w:tcPr>
            <w:tcW w:w="6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130</w:t>
            </w:r>
          </w:p>
        </w:tc>
        <w:tc>
          <w:tcPr>
            <w:tcW w:w="6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限上贸易企业奖励</w:t>
            </w:r>
          </w:p>
        </w:tc>
        <w:tc>
          <w:tcPr>
            <w:tcW w:w="19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限上贸易企业增速达标企业数量≥5家；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完成率≥80%；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各项工作完成及时率≥90%；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资金成本≤130万元；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销售收入平均增长率（%）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≥20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项目实现功能，有效促进我县商贸企业发展活力；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项目实施后生态效益增长率≥20%；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持续服务率(%)≥80%；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监管企业满意度≥80%；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满意度≥80%；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人民群众满意度≥80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%。</w:t>
            </w:r>
          </w:p>
        </w:tc>
        <w:tc>
          <w:tcPr>
            <w:tcW w:w="3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27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6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新增限上贸易企业奖励资金199.0496万元</w:t>
            </w:r>
          </w:p>
        </w:tc>
        <w:tc>
          <w:tcPr>
            <w:tcW w:w="6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199.0496</w:t>
            </w:r>
          </w:p>
        </w:tc>
        <w:tc>
          <w:tcPr>
            <w:tcW w:w="6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限上贸易企业奖励</w:t>
            </w:r>
          </w:p>
        </w:tc>
        <w:tc>
          <w:tcPr>
            <w:tcW w:w="19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限上贸易企业增速达标企业数量≥1家；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完成率≥80%；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各项工作完成及时率≥90%；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资金成本≤200万元；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销售收入平均增长率（%）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≥20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项目实现功能，有效促进我县商贸企业发展活力；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项目实施后生态效益增长率≥80%；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持续服务率(%)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≥80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监管企业满意度≥80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满意度≥80%；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人民群众满意度≥80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%。</w:t>
            </w:r>
          </w:p>
        </w:tc>
        <w:tc>
          <w:tcPr>
            <w:tcW w:w="3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27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6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2021年中央服务业发展资金</w:t>
            </w:r>
          </w:p>
        </w:tc>
        <w:tc>
          <w:tcPr>
            <w:tcW w:w="6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400</w:t>
            </w:r>
          </w:p>
        </w:tc>
        <w:tc>
          <w:tcPr>
            <w:tcW w:w="6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电子商务进农村</w:t>
            </w:r>
          </w:p>
        </w:tc>
        <w:tc>
          <w:tcPr>
            <w:tcW w:w="19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示范县农村电商服务在行政村服务覆盖率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≥50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示范县开展电商培训次数≥3000人次；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示范县物流配送中心，乡镇商贸中心，新型乡村电商服务站（便利店）升级改造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≥400个；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新增农村网商（店）≥50个；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示范县提升农产品标准化程度，完善企业标准或地方标准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≥1个；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示范县提升农产品品牌化程度，推广县域公用品牌或农产品品牌≥1个；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按时完成工作，按时完成工作，完善农村电子商务公共服务体系；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资金成本≤400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万元；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示范县农产品网络零售额同比增速≥30%；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示范县农村网络零售额同比增速≥30%；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示范县促进电商精准扶贫，对接电商企业，落地电商帮扶项目≥2个；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示范县电商典型案例与做法得到宣传推广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≥2个；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企业满意度≥80%；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满意率≥80%；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通过走访调研，测定2021年示范县村站对县服务中心满意程度≥80%。</w:t>
            </w:r>
          </w:p>
        </w:tc>
        <w:tc>
          <w:tcPr>
            <w:tcW w:w="3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27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6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玉田县临港产业园项目资金</w:t>
            </w:r>
          </w:p>
        </w:tc>
        <w:tc>
          <w:tcPr>
            <w:tcW w:w="6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814.9505</w:t>
            </w:r>
          </w:p>
        </w:tc>
        <w:tc>
          <w:tcPr>
            <w:tcW w:w="6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临港产业园项目</w:t>
            </w:r>
          </w:p>
        </w:tc>
        <w:tc>
          <w:tcPr>
            <w:tcW w:w="19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项目建设完成率≥80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完成率≥80%；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项目完成时间≤1年；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项目总成本≤814.95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万元；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资金使用效益，解决诉讼问题，消除不良影响；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社会影响力，解决诉讼问题，消除不良影响；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项目实施后生态效益增长率≥80%；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影响期限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≤1年；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服务对象满意度≥80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满意率≥80%；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参会单位满意度（%）≥80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%。</w:t>
            </w:r>
          </w:p>
        </w:tc>
        <w:tc>
          <w:tcPr>
            <w:tcW w:w="3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27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6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唐财建[2022]144号关于下达2022年新增限上企业奖补资金（第一批）的通知</w:t>
            </w:r>
          </w:p>
        </w:tc>
        <w:tc>
          <w:tcPr>
            <w:tcW w:w="6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17.91</w:t>
            </w:r>
          </w:p>
        </w:tc>
        <w:tc>
          <w:tcPr>
            <w:tcW w:w="6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限上贸易企业奖励</w:t>
            </w:r>
          </w:p>
        </w:tc>
        <w:tc>
          <w:tcPr>
            <w:tcW w:w="19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限上贸易企业增速达标企业数量≥8家；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完成率≥80%；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各项工作完成及时率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资金成本≤17.91万元；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销售收入平均增长率（%）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≥20%；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项目实现功能，有效促进我县商贸企业发展活力；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项目实施后生态效益增长率≥80%；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持续服务率(%)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≥80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监管企业满意度≥80%；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满意度≥80%；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人民群众满意度≥80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%。</w:t>
            </w:r>
          </w:p>
        </w:tc>
        <w:tc>
          <w:tcPr>
            <w:tcW w:w="3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27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6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冀财建【2023】38号2022年省商贸流通发展专项资金（外资外贸和商贸流通企业数据直报）</w:t>
            </w:r>
          </w:p>
        </w:tc>
        <w:tc>
          <w:tcPr>
            <w:tcW w:w="6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11</w:t>
            </w:r>
          </w:p>
        </w:tc>
        <w:tc>
          <w:tcPr>
            <w:tcW w:w="6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数据直报补贴</w:t>
            </w:r>
          </w:p>
        </w:tc>
        <w:tc>
          <w:tcPr>
            <w:tcW w:w="19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奖补企业数量≥10家；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企业网报率≥80%；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资金发放准时率≥80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项目实际成本≤11万元；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数据共享率≥80%；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数据及时完整率（%）≥80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监测数据合格率≥80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项目建成效果，有效调动企业数据直报积极性；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企业满意度≥80%；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客户满意度≥80%；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满意率≥80%。</w:t>
            </w:r>
          </w:p>
        </w:tc>
        <w:tc>
          <w:tcPr>
            <w:tcW w:w="3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27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6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唐财建[2022]143号关于下达2022年外贸发展专项资金的通知</w:t>
            </w:r>
          </w:p>
        </w:tc>
        <w:tc>
          <w:tcPr>
            <w:tcW w:w="6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429.75</w:t>
            </w:r>
          </w:p>
        </w:tc>
        <w:tc>
          <w:tcPr>
            <w:tcW w:w="6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外贸发展</w:t>
            </w:r>
          </w:p>
        </w:tc>
        <w:tc>
          <w:tcPr>
            <w:tcW w:w="19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转型升级项目实施数量（项）≥20个；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进口产品质量合格率≥80%；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预算执行率≥80%；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资金成本≤429.75万元；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税收增长率≥20%；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项目实现功能，较好促进跨境电商发展；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生态效益增长率≥30%；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对国内产业链供应链稳定性的影响，对保证国内产业链和供应链的稳定性，有着积极地促进作用；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企业满意度≥80%；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满意率≥80%；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群众满意度≥80%。</w:t>
            </w:r>
          </w:p>
        </w:tc>
        <w:tc>
          <w:tcPr>
            <w:tcW w:w="3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27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6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2023年中央外经贸发展资金</w:t>
            </w:r>
          </w:p>
        </w:tc>
        <w:tc>
          <w:tcPr>
            <w:tcW w:w="6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21.74</w:t>
            </w:r>
          </w:p>
        </w:tc>
        <w:tc>
          <w:tcPr>
            <w:tcW w:w="6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外经贸发展</w:t>
            </w:r>
          </w:p>
        </w:tc>
        <w:tc>
          <w:tcPr>
            <w:tcW w:w="19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获得支出的项目带动重要产品和技术进口额≥100万美元；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支持中小企业开拓市场数量≥10家；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预算执行率≥100%；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资金成本≤21.74万元；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降低成本≥10万元；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集中运输降低人力成本≥10万元；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节能环保减排，引进先进设备、技术、零部件能都达到节能环保减排的效果；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对国内产业链稳定性的影响，对国内产业链稳定性产生积极的影响；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企业满意度≥80%；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 xml:space="preserve">客户满意度≥80%； 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 xml:space="preserve">满意率≥80%。 </w:t>
            </w:r>
          </w:p>
        </w:tc>
        <w:tc>
          <w:tcPr>
            <w:tcW w:w="3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27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6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唐财建[2022]142号关于下达2022年跨境电子商务发展专项资金的通知</w:t>
            </w:r>
          </w:p>
        </w:tc>
        <w:tc>
          <w:tcPr>
            <w:tcW w:w="6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124.02</w:t>
            </w:r>
          </w:p>
        </w:tc>
        <w:tc>
          <w:tcPr>
            <w:tcW w:w="6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跨境电商</w:t>
            </w:r>
          </w:p>
        </w:tc>
        <w:tc>
          <w:tcPr>
            <w:tcW w:w="19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奖补企业数量≥5家；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促成合作意向数≥10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个；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项目按时完成率（≥%）≥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资金成本≤124.02万元；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增加营业收入≥200万元；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引导社会资金投入能力≥300万元；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生态效益增长率≥80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项目持续发挥作用，进一步提升我县跨境电商贸易水平；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企业满意度≥80%；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满意率≥80%；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群众满意度≥80%。</w:t>
            </w:r>
          </w:p>
        </w:tc>
        <w:tc>
          <w:tcPr>
            <w:tcW w:w="3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27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6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3" w:type="pct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2023年中央外贸发展资金</w:t>
            </w:r>
          </w:p>
        </w:tc>
        <w:tc>
          <w:tcPr>
            <w:tcW w:w="6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54.3582</w:t>
            </w:r>
          </w:p>
        </w:tc>
        <w:tc>
          <w:tcPr>
            <w:tcW w:w="61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外贸发展</w:t>
            </w:r>
          </w:p>
        </w:tc>
        <w:tc>
          <w:tcPr>
            <w:tcW w:w="192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获得支出的项目带动重要产品和技术进口额≥100万美元；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获得进口贴息企业数量≥1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家；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预算执行率≥100%；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资金成本≤55万元；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降低成本≥10万元；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集中运输降低人力成本≥10万元；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节能环保减排，引进先进设备、技术、零部件能都达到节能环保减排的效果；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对国内产业链稳定性的影响，对国内产业链稳定性产生积极的影响；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企业满意度≥80%；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 xml:space="preserve"> 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 xml:space="preserve">客户满意度≥80%； 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满意率≥80%。</w:t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ab/>
            </w: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38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100%</w:t>
            </w:r>
          </w:p>
        </w:tc>
        <w:tc>
          <w:tcPr>
            <w:tcW w:w="27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97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6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张丽华</w:t>
      </w:r>
      <w:r>
        <w:rPr>
          <w:rFonts w:hint="eastAsia" w:ascii="仿宋_GB2312" w:eastAsia="仿宋_GB2312"/>
          <w:sz w:val="32"/>
          <w:szCs w:val="32"/>
        </w:rPr>
        <w:t>任组长，由办公室主任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丁立超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各</w:t>
      </w:r>
      <w:r>
        <w:rPr>
          <w:rFonts w:hint="eastAsia" w:ascii="仿宋_GB2312" w:eastAsia="仿宋_GB2312"/>
          <w:sz w:val="32"/>
          <w:szCs w:val="32"/>
        </w:rPr>
        <w:t>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局</w:t>
      </w:r>
      <w:r>
        <w:rPr>
          <w:rFonts w:hint="eastAsia" w:ascii="仿宋_GB2312" w:eastAsia="仿宋_GB2312"/>
          <w:sz w:val="32"/>
          <w:szCs w:val="32"/>
        </w:rPr>
        <w:t>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18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3117.6191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优秀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水平。自评结果真实可靠。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Theme="majorEastAsia" w:hAnsiTheme="majorEastAsia" w:eastAsiaTheme="majorEastAsia" w:cstheme="majorEastAsia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Theme="majorEastAsia" w:hAnsiTheme="majorEastAsia" w:eastAsiaTheme="majorEastAsia" w:cstheme="majorEastAsia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2023年度我局18个预算项目全部按时完成项目绩效，</w:t>
      </w:r>
      <w:r>
        <w:rPr>
          <w:rFonts w:hint="eastAsia" w:ascii="仿宋" w:hAnsi="仿宋" w:eastAsia="仿宋"/>
          <w:sz w:val="32"/>
          <w:szCs w:val="32"/>
        </w:rPr>
        <w:t>为加强和规范项目管理,我局结合单位内部控制制度建设,制定和完善了相应的议事规范，项目立项一般按照建设申请、现场勘查、可研规划、实施设计、专家评审、会议决策、公示、立项、签订合同的程序进行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此外，我局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>内控制度需进一步完善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。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>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Theme="majorEastAsia" w:hAnsiTheme="majorEastAsia" w:eastAsiaTheme="majorEastAsia" w:cstheme="majorEastAsia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Theme="majorEastAsia" w:hAnsiTheme="majorEastAsia" w:eastAsiaTheme="majorEastAsia" w:cstheme="majorEastAsia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Theme="majorEastAsia" w:hAnsiTheme="majorEastAsia" w:eastAsiaTheme="majorEastAsia" w:cstheme="majorEastAsia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Theme="majorEastAsia" w:hAnsiTheme="majorEastAsia" w:eastAsiaTheme="majorEastAsia" w:cstheme="majorEastAsia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pStyle w:val="2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033D360F"/>
    <w:rsid w:val="036F4FA2"/>
    <w:rsid w:val="07AE7FEB"/>
    <w:rsid w:val="0D854532"/>
    <w:rsid w:val="117C5966"/>
    <w:rsid w:val="18FD3CCE"/>
    <w:rsid w:val="1A231321"/>
    <w:rsid w:val="1F907FA0"/>
    <w:rsid w:val="210155F5"/>
    <w:rsid w:val="25B87B4E"/>
    <w:rsid w:val="39B8262A"/>
    <w:rsid w:val="4F495DBA"/>
    <w:rsid w:val="624C3F63"/>
    <w:rsid w:val="63814E2E"/>
    <w:rsid w:val="6A885241"/>
    <w:rsid w:val="6DFF1AD1"/>
    <w:rsid w:val="6F486E32"/>
    <w:rsid w:val="70046017"/>
    <w:rsid w:val="70E0537A"/>
    <w:rsid w:val="757E464D"/>
    <w:rsid w:val="77AB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line="600" w:lineRule="exact"/>
      <w:ind w:firstLine="640" w:firstLineChars="200"/>
    </w:pPr>
  </w:style>
  <w:style w:type="paragraph" w:customStyle="1" w:styleId="3">
    <w:name w:val="正文部分 Char Char Char"/>
    <w:basedOn w:val="2"/>
    <w:next w:val="1"/>
    <w:qFormat/>
    <w:uiPriority w:val="0"/>
    <w:pPr>
      <w:adjustRightInd w:val="0"/>
      <w:snapToGrid w:val="0"/>
      <w:spacing w:line="460" w:lineRule="exact"/>
      <w:textAlignment w:val="baseline"/>
    </w:pPr>
    <w:rPr>
      <w:rFonts w:hAnsi="Calibri"/>
      <w:sz w:val="24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LENOVO</cp:lastModifiedBy>
  <dcterms:modified xsi:type="dcterms:W3CDTF">2024-04-19T06:32:52Z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0A7EC778D19C4F6C8E2FF80F7B28F2E9_11</vt:lpwstr>
  </property>
</Properties>
</file>