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Theme="majorEastAsia" w:hAnsiTheme="majorEastAsia" w:eastAsiaTheme="majorEastAsia" w:cstheme="majorEastAsia"/>
          <w:b/>
          <w:bCs/>
          <w:sz w:val="72"/>
          <w:szCs w:val="72"/>
        </w:rPr>
      </w:pPr>
      <w:r>
        <w:rPr>
          <w:rFonts w:hint="eastAsia" w:asciiTheme="majorEastAsia" w:hAnsiTheme="majorEastAsia" w:eastAsiaTheme="majorEastAsia" w:cstheme="majorEastAsia"/>
          <w:b/>
          <w:bCs/>
          <w:color w:val="000000"/>
          <w:spacing w:val="0"/>
          <w:w w:val="100"/>
          <w:position w:val="0"/>
          <w:sz w:val="72"/>
          <w:szCs w:val="72"/>
        </w:rPr>
        <w:t>20</w:t>
      </w:r>
      <w:r>
        <w:rPr>
          <w:rFonts w:hint="eastAsia" w:asciiTheme="majorEastAsia" w:hAnsiTheme="majorEastAsia" w:eastAsiaTheme="majorEastAsia" w:cstheme="majorEastAsia"/>
          <w:b/>
          <w:bCs/>
          <w:color w:val="000000"/>
          <w:spacing w:val="0"/>
          <w:w w:val="100"/>
          <w:position w:val="0"/>
          <w:sz w:val="72"/>
          <w:szCs w:val="72"/>
          <w:lang w:val="en-US" w:eastAsia="zh-CN"/>
        </w:rPr>
        <w:t>22</w:t>
      </w:r>
      <w:r>
        <w:rPr>
          <w:rFonts w:hint="eastAsia" w:asciiTheme="majorEastAsia" w:hAnsiTheme="majorEastAsia" w:eastAsiaTheme="majorEastAsia" w:cstheme="majorEastAsia"/>
          <w:b/>
          <w:bCs/>
          <w:color w:val="000000"/>
          <w:spacing w:val="0"/>
          <w:w w:val="100"/>
          <w:position w:val="0"/>
          <w:sz w:val="72"/>
          <w:szCs w:val="72"/>
        </w:rPr>
        <w:t>年度重点项目支出</w:t>
      </w:r>
      <w:r>
        <w:rPr>
          <w:rFonts w:hint="eastAsia" w:asciiTheme="majorEastAsia" w:hAnsiTheme="majorEastAsia" w:eastAsiaTheme="majorEastAsia" w:cstheme="majorEastAsia"/>
          <w:b/>
          <w:bCs/>
          <w:color w:val="000000"/>
          <w:spacing w:val="0"/>
          <w:w w:val="100"/>
          <w:position w:val="0"/>
          <w:sz w:val="72"/>
          <w:szCs w:val="72"/>
        </w:rPr>
        <w:br w:type="textWrapping"/>
      </w:r>
      <w:r>
        <w:rPr>
          <w:rFonts w:hint="eastAsia" w:asciiTheme="majorEastAsia" w:hAnsiTheme="majorEastAsia" w:eastAsiaTheme="majorEastAsia" w:cstheme="majorEastAsia"/>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2"/>
        <w:keepNext w:val="0"/>
        <w:keepLines w:val="0"/>
        <w:framePr w:w="8328" w:h="4402" w:hRule="exact" w:wrap="around" w:vAnchor="page" w:hAnchor="page" w:x="1826" w:y="9954"/>
        <w:widowControl w:val="0"/>
        <w:shd w:val="clear" w:color="auto" w:fill="auto"/>
        <w:bidi w:val="0"/>
        <w:spacing w:before="0" w:after="0" w:line="643" w:lineRule="exact"/>
        <w:ind w:right="0"/>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none"/>
          <w:lang w:val="en-US" w:eastAsia="zh-CN"/>
        </w:rPr>
        <w:t xml:space="preserve"> 2021年中央服务业发展资金           </w:t>
      </w:r>
      <w:r>
        <w:rPr>
          <w:rFonts w:hint="eastAsia" w:ascii="仿宋" w:hAnsi="仿宋" w:eastAsia="仿宋" w:cs="仿宋"/>
          <w:color w:val="000000"/>
          <w:spacing w:val="0"/>
          <w:w w:val="100"/>
          <w:position w:val="0"/>
          <w:sz w:val="36"/>
          <w:szCs w:val="36"/>
          <w:u w:val="single"/>
          <w:lang w:val="en-US" w:eastAsia="zh-CN"/>
        </w:rPr>
        <w:t xml:space="preserve">                    </w:t>
      </w:r>
    </w:p>
    <w:p>
      <w:pPr>
        <w:pStyle w:val="12"/>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none"/>
          <w:lang w:val="en-US" w:eastAsia="zh-CN"/>
        </w:rPr>
        <w:t xml:space="preserve">玉田县商务和投资促进局       </w:t>
      </w:r>
      <w:r>
        <w:rPr>
          <w:rFonts w:hint="eastAsia" w:ascii="仿宋" w:hAnsi="仿宋" w:eastAsia="仿宋" w:cs="仿宋"/>
          <w:color w:val="000000"/>
          <w:spacing w:val="0"/>
          <w:w w:val="100"/>
          <w:position w:val="0"/>
          <w:sz w:val="36"/>
          <w:szCs w:val="36"/>
          <w:u w:val="single"/>
          <w:lang w:val="en-US" w:eastAsia="zh-CN"/>
        </w:rPr>
        <w:t xml:space="preserve">                </w:t>
      </w:r>
    </w:p>
    <w:p>
      <w:pPr>
        <w:pStyle w:val="12"/>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none"/>
          <w:lang w:val="en-US" w:eastAsia="zh-CN"/>
        </w:rPr>
        <w:t xml:space="preserve">胡旭旺                            </w:t>
      </w:r>
    </w:p>
    <w:p>
      <w:pPr>
        <w:pStyle w:val="12"/>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none"/>
          <w:lang w:val="en-US" w:eastAsia="zh-CN"/>
        </w:rPr>
        <w:t xml:space="preserve"> 15544686868                   </w:t>
      </w:r>
      <w:r>
        <w:rPr>
          <w:rFonts w:hint="eastAsia" w:ascii="仿宋" w:hAnsi="仿宋" w:eastAsia="仿宋" w:cs="仿宋"/>
          <w:b/>
          <w:bCs/>
          <w:color w:val="000000"/>
          <w:spacing w:val="0"/>
          <w:w w:val="100"/>
          <w:position w:val="0"/>
          <w:sz w:val="36"/>
          <w:szCs w:val="36"/>
          <w:u w:val="none"/>
          <w:lang w:val="en-US" w:eastAsia="zh-CN"/>
        </w:rPr>
        <w:t xml:space="preserve">       </w:t>
      </w:r>
      <w:r>
        <w:rPr>
          <w:rFonts w:hint="eastAsia" w:ascii="仿宋" w:hAnsi="仿宋" w:eastAsia="仿宋" w:cs="仿宋"/>
          <w:color w:val="000000"/>
          <w:spacing w:val="0"/>
          <w:w w:val="100"/>
          <w:position w:val="0"/>
          <w:sz w:val="36"/>
          <w:szCs w:val="36"/>
          <w:u w:val="single"/>
          <w:lang w:val="en-US" w:eastAsia="zh-CN"/>
        </w:rPr>
        <w:t xml:space="preserve">  </w:t>
      </w:r>
    </w:p>
    <w:p>
      <w:pPr>
        <w:pStyle w:val="12"/>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2"/>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none"/>
          <w:lang w:val="en-US" w:eastAsia="zh-CN"/>
        </w:rPr>
      </w:pPr>
      <w:r>
        <w:rPr>
          <w:rFonts w:hint="eastAsia" w:ascii="仿宋" w:hAnsi="仿宋" w:eastAsia="仿宋" w:cs="仿宋"/>
          <w:color w:val="000000"/>
          <w:spacing w:val="0"/>
          <w:w w:val="100"/>
          <w:position w:val="0"/>
          <w:sz w:val="36"/>
          <w:szCs w:val="36"/>
          <w:u w:val="none"/>
          <w:lang w:val="en-US" w:eastAsia="zh-CN"/>
        </w:rPr>
        <w:t>2024年4月22日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4"/>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3"/>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pStyle w:val="2"/>
        <w:rPr>
          <w:rFonts w:hint="eastAsia"/>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widowControl w:val="0"/>
        <w:numPr>
          <w:numId w:val="0"/>
        </w:numPr>
        <w:kinsoku/>
        <w:wordWrap/>
        <w:overflowPunct/>
        <w:topLinePunct w:val="0"/>
        <w:autoSpaceDE/>
        <w:autoSpaceDN/>
        <w:bidi w:val="0"/>
        <w:adjustRightInd/>
        <w:snapToGrid/>
        <w:spacing w:line="240" w:lineRule="auto"/>
        <w:ind w:firstLine="602" w:firstLineChars="200"/>
        <w:textAlignment w:val="auto"/>
        <w:rPr>
          <w:rFonts w:hint="eastAsia" w:asciiTheme="majorEastAsia" w:hAnsiTheme="majorEastAsia" w:eastAsiaTheme="majorEastAsia" w:cstheme="majorEastAsia"/>
          <w:b/>
          <w:bCs/>
        </w:rPr>
      </w:pPr>
      <w:bookmarkStart w:id="20" w:name="_Toc30176_WPSOffice_Level1"/>
      <w:r>
        <w:rPr>
          <w:rFonts w:hint="eastAsia" w:asciiTheme="majorEastAsia" w:hAnsiTheme="majorEastAsia" w:eastAsiaTheme="majorEastAsia" w:cstheme="majorEastAsia"/>
          <w:b/>
          <w:bCs/>
          <w:lang w:val="en-US" w:eastAsia="zh-CN"/>
        </w:rPr>
        <w:t>一、</w:t>
      </w:r>
      <w:r>
        <w:rPr>
          <w:rFonts w:hint="eastAsia" w:asciiTheme="majorEastAsia" w:hAnsiTheme="majorEastAsia" w:eastAsiaTheme="majorEastAsia" w:cstheme="majorEastAsia"/>
          <w:b/>
          <w:bCs/>
        </w:rPr>
        <w:t>部门职责</w:t>
      </w:r>
      <w:bookmarkEnd w:id="20"/>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bookmarkStart w:id="21" w:name="_Toc31309_WPSOffice_Level1"/>
      <w:r>
        <w:rPr>
          <w:rFonts w:hint="eastAsia" w:ascii="仿宋" w:hAnsi="仿宋" w:eastAsia="仿宋" w:cs="仿宋"/>
          <w:sz w:val="32"/>
          <w:szCs w:val="32"/>
          <w:lang w:val="en-US" w:eastAsia="zh-CN"/>
        </w:rPr>
        <w:t>（一）贯彻落实国家和省市有关国内外贸易、国际经济合作的发展战略、方针、政策和法律法规。起草商务领域一般规范性文件草案，拟订全县商务发展规划、政策措施和年度计划并组织实施，研究经济全球化、区域经济合作、现代流通方式的发展趋势并提出建议。</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二）拟订全县国内贸易发展规划。促进城乡市场发展，提出引导国内外资金投向市场体系建设的政策建议:负责大宗产品批发市场建设和城市商业网点规划、商业体系建设工作;推进农村市场体系建设，组织实施农村现代流通网络工程。</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三）提出流通体制改革建议。负责推进流通产业结构调整，培育商贸流通主体，推动流通企业改革、商贸服务业和社区商业发展，提出促进商贸中小企业发展的政策建议，推动流通标准化和连锁经营、商业特许经营、电子商务等现代流通方式的发展，负责全县流通领域信息网络和电子商务建设。</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四）牵头推进商务领域信用体系建设，规范商贸企业交易行为。牵头推动重要产品追溯体系建设。建立商务诚信公共服务平台。规范商贸企业交易行为，按照有关规定对特殊流通行业进行监督管理。指导督促商贸流通行业安全生产。</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五）组织实施重要消费品市场调控和重要生产资料流通管理，负责建立健全生活必需品市场供应应急管理机制，监测分析市场运行、商品供求状况，调查分析商品价格信息，进行预测预警和信息引导，按分工负责重要消费品储备管理和市场调控工作，按照有关规定对成品油市场进行监督管理。</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六）执行国家和省市制定的进出口商品、加工贸易管理办法和进出口商品、技术目录。贯彻执行国家和省市促进外贸增长方式转变的政策措施，组织实施国家和省市制定的重要工业品、原材料和重要农产品进出口总量计划，会同有关部门协调大宗进出口商品，组织指导贸易促进活动和外贸促进体系建设。</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（七）贯彻执行国家和省市对外技术贸易、进出口管制以及鼓励技术和成套设备进出口的贸易政策。拟订和推进全县科技兴贸战略，依法监督技术引进、设备进口、国家限制出口技术。</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（八）会同有关部门贯彻执行国家和省市促进服务出口和服务外包发展的规划、政策，牵头拟订全县服务贸易发展规划并组织实施。</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九）贯彻执行国家和省市利用外资法律法规规章和外商投资产业政策，拟订全县外商投资政策并组织实施;依法对外商投资企业的设立及变更事项进行备案;依法对外商投资项目的合同章程及法律规定的变更事项进行备案:依法监督检查外商投资企业执行有关法律法规规章、合同章程的情况并协调解决有关问题;指导全县吸引外资及外商投资企业备案工作，规范对外招商引资活动;指导和管理全县外商投资企业进出口工作。</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负责对外投资和经济合作工作。拟订并执行对外经济合作政策，依法管理和监督对外投资、对外承包工程、对外劳务合作等，负责外派劳务和境外就业人员的权益保护工作;拟订全县对外投资管理办法和具体政策，负责对外援助有关工作，负责对外投资和经济合作促进工作;指导全县对外投资和经济合作促进工作。</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一）配合上级部门调查国(境)外对我国出口商品实施的歧视性贸易政策、法律法规及做法。组织协调反倾销、反补贴和保障措施等贸易救济调查以及进出口公平贸易相关工作，指导协调出口产品贸易摩擦应对和进口产品贸易救济申诉工作，跟踪调查反倾销、反补贴和保障措施等贸易救济措施对全县相关产业的影响，建立产业安全预警机制。</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（十二）负责上级交办的涉及世贸组织相关工作。贯彻执行上级制定的对自由贸易区国家和地区的经贸规划、政策并组织实施。</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（十三）负责会展业促进与管理工作。拟订会展业发展规划、政策措施并组织实施，组织指导境内外对外经济技术展览会和赴境外非商业性办展活动。</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（十四）监测分析全县商务运行情况，承担全县商务系统对外宣传和信息发布工作。</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（十五）完成县委、县政府交办的其他任务。</w:t>
      </w:r>
    </w:p>
    <w:p>
      <w:pPr>
        <w:keepNext w:val="0"/>
        <w:keepLines w:val="0"/>
        <w:pageBreakBefore w:val="0"/>
        <w:numPr>
          <w:ilvl w:val="0"/>
          <w:numId w:val="0"/>
        </w:numPr>
        <w:kinsoku/>
        <w:wordWrap/>
        <w:overflowPunct/>
        <w:topLinePunct w:val="0"/>
        <w:autoSpaceDE/>
        <w:autoSpaceDN/>
        <w:bidi w:val="0"/>
        <w:spacing w:line="240" w:lineRule="auto"/>
        <w:ind w:firstLine="602" w:firstLineChars="200"/>
        <w:textAlignment w:val="auto"/>
        <w:rPr>
          <w:rFonts w:hint="eastAsia" w:asciiTheme="majorEastAsia" w:hAnsiTheme="majorEastAsia" w:eastAsiaTheme="majorEastAsia" w:cstheme="majorEastAsia"/>
          <w:b/>
          <w:bCs/>
          <w:sz w:val="30"/>
          <w:szCs w:val="30"/>
          <w:lang w:eastAsia="zh-CN"/>
        </w:rPr>
      </w:pPr>
      <w:r>
        <w:rPr>
          <w:rFonts w:hint="eastAsia" w:asciiTheme="majorEastAsia" w:hAnsiTheme="majorEastAsia" w:eastAsiaTheme="majorEastAsia" w:cstheme="majorEastAsia"/>
          <w:b/>
          <w:bCs/>
          <w:sz w:val="30"/>
          <w:szCs w:val="30"/>
          <w:lang w:val="en-US" w:eastAsia="zh-CN"/>
        </w:rPr>
        <w:t>二、</w:t>
      </w:r>
      <w:r>
        <w:rPr>
          <w:rFonts w:hint="eastAsia" w:asciiTheme="majorEastAsia" w:hAnsiTheme="majorEastAsia" w:eastAsiaTheme="majorEastAsia" w:cstheme="majorEastAsia"/>
          <w:b/>
          <w:bCs/>
          <w:sz w:val="30"/>
          <w:szCs w:val="30"/>
          <w:lang w:eastAsia="zh-CN"/>
        </w:rPr>
        <w:t>绩效评价工作开展情况</w:t>
      </w:r>
      <w:bookmarkEnd w:id="21"/>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b/>
          <w:bCs/>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val="en-US" w:eastAsia="zh-CN"/>
        </w:rPr>
        <w:t>2021年中央服务业发展资金。</w:t>
      </w:r>
    </w:p>
    <w:p>
      <w:pPr>
        <w:keepNext w:val="0"/>
        <w:keepLines w:val="0"/>
        <w:pageBreakBefore w:val="0"/>
        <w:numPr>
          <w:ilvl w:val="0"/>
          <w:numId w:val="1"/>
        </w:numPr>
        <w:kinsoku/>
        <w:wordWrap/>
        <w:overflowPunct/>
        <w:topLinePunct w:val="0"/>
        <w:autoSpaceDE/>
        <w:autoSpaceDN/>
        <w:bidi w:val="0"/>
        <w:spacing w:line="240" w:lineRule="auto"/>
        <w:ind w:left="480" w:leftChars="0" w:firstLine="0" w:firstLineChars="0"/>
        <w:textAlignment w:val="auto"/>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keepNext w:val="0"/>
        <w:keepLines w:val="0"/>
        <w:pageBreakBefore w:val="0"/>
        <w:kinsoku/>
        <w:wordWrap/>
        <w:overflowPunct/>
        <w:topLinePunct w:val="0"/>
        <w:autoSpaceDE/>
        <w:autoSpaceDN/>
        <w:bidi w:val="0"/>
        <w:spacing w:line="24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（1）《中华人民共和国预算法》（2014 年修订）；</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（2）《中共中央国务院关于全面实施预算绩效管理的意见》（中发〔2018〕34 号）；</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（3）《中共河北省委河北省人民政府关于全面实施预算绩效管理的实施意见》（冀发〔2018〕54 号）；</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（4）项目相关申报材料、财政部门预算批复、项目基本信息表、项目绩效目标申报表；</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（5）项目单位职能职责、年度工作计划、总结，项目实施（建设）方案；</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（6）相关预算管理制度、财务管理办法，财务会计资料；</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（7）其他项目相关材料。</w:t>
      </w:r>
    </w:p>
    <w:p>
      <w:pPr>
        <w:keepNext w:val="0"/>
        <w:keepLines w:val="0"/>
        <w:pageBreakBefore w:val="0"/>
        <w:numPr>
          <w:ilvl w:val="0"/>
          <w:numId w:val="0"/>
        </w:numPr>
        <w:kinsoku/>
        <w:wordWrap/>
        <w:overflowPunct/>
        <w:topLinePunct w:val="0"/>
        <w:autoSpaceDE/>
        <w:autoSpaceDN/>
        <w:bidi w:val="0"/>
        <w:spacing w:line="240" w:lineRule="auto"/>
        <w:ind w:firstLine="300" w:firstLineChars="100"/>
        <w:textAlignment w:val="auto"/>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财政资金</w:t>
      </w:r>
      <w:r>
        <w:rPr>
          <w:rFonts w:hint="eastAsia" w:ascii="仿宋" w:hAnsi="仿宋" w:eastAsia="仿宋" w:cs="仿宋"/>
          <w:sz w:val="32"/>
          <w:szCs w:val="32"/>
          <w:lang w:eastAsia="zh-CN"/>
        </w:rPr>
        <w:t>重点</w:t>
      </w:r>
      <w:r>
        <w:rPr>
          <w:rFonts w:hint="eastAsia" w:ascii="仿宋" w:hAnsi="仿宋" w:eastAsia="仿宋" w:cs="仿宋"/>
          <w:sz w:val="32"/>
          <w:szCs w:val="32"/>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keepNext w:val="0"/>
        <w:keepLines w:val="0"/>
        <w:pageBreakBefore w:val="0"/>
        <w:numPr>
          <w:ilvl w:val="0"/>
          <w:numId w:val="0"/>
        </w:numPr>
        <w:kinsoku/>
        <w:wordWrap/>
        <w:overflowPunct/>
        <w:topLinePunct w:val="0"/>
        <w:autoSpaceDE/>
        <w:autoSpaceDN/>
        <w:bidi w:val="0"/>
        <w:spacing w:line="240" w:lineRule="auto"/>
        <w:ind w:firstLine="300" w:firstLineChars="100"/>
        <w:textAlignment w:val="auto"/>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bookmarkStart w:id="26" w:name="_Toc22655_WPSOffice_Level1"/>
      <w:r>
        <w:rPr>
          <w:rFonts w:hint="eastAsia" w:ascii="仿宋" w:hAnsi="仿宋" w:eastAsia="仿宋" w:cs="仿宋"/>
          <w:sz w:val="32"/>
          <w:szCs w:val="32"/>
          <w:lang w:val="en-US" w:eastAsia="zh-CN"/>
        </w:rPr>
        <w:t>1.</w:t>
      </w:r>
      <w:r>
        <w:rPr>
          <w:rFonts w:hint="eastAsia" w:ascii="仿宋" w:hAnsi="仿宋" w:eastAsia="仿宋" w:cs="仿宋"/>
          <w:sz w:val="32"/>
          <w:szCs w:val="32"/>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 由于工作性质的特殊性，工作任务主要是</w:t>
      </w:r>
      <w:r>
        <w:rPr>
          <w:rFonts w:hint="eastAsia" w:ascii="仿宋" w:hAnsi="仿宋" w:eastAsia="仿宋" w:cs="仿宋"/>
          <w:sz w:val="32"/>
          <w:szCs w:val="32"/>
          <w:lang w:val="en-US" w:eastAsia="zh-CN"/>
        </w:rPr>
        <w:t>推动农村商贸流通企业转型升级，使农村流通现代化水平明显提升，农村网络零售额显著增长，发挥电商企业的主体作用，强化电商培训，带动就业增收，完善农村电子商务公共服务体系，健全县乡村三级物流配送体系</w:t>
      </w:r>
      <w:r>
        <w:rPr>
          <w:rFonts w:hint="eastAsia" w:ascii="仿宋" w:hAnsi="仿宋" w:eastAsia="仿宋" w:cs="仿宋"/>
          <w:sz w:val="32"/>
          <w:szCs w:val="32"/>
        </w:rPr>
        <w:t>，</w:t>
      </w:r>
      <w:r>
        <w:rPr>
          <w:rFonts w:hint="eastAsia" w:ascii="仿宋" w:hAnsi="仿宋" w:eastAsia="仿宋" w:cs="仿宋"/>
          <w:sz w:val="32"/>
          <w:szCs w:val="32"/>
          <w:lang w:val="en-US" w:eastAsia="zh-CN"/>
        </w:rPr>
        <w:t>支持推进电子商务进农村综合示范、农产品供应链体系建设工作，</w:t>
      </w:r>
      <w:r>
        <w:rPr>
          <w:rFonts w:hint="eastAsia" w:ascii="仿宋" w:hAnsi="仿宋" w:eastAsia="仿宋" w:cs="仿宋"/>
          <w:sz w:val="32"/>
          <w:szCs w:val="32"/>
        </w:rPr>
        <w:t>从而项目的经济效益、社会效益的评价无法定量估计。</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 绩效评价工作处在初步推广阶段，部分部门和人员对其认识有些尚浅，在资料提供与准备方面尚缺经验，一定程度上影响了工作效率。</w:t>
      </w:r>
    </w:p>
    <w:p>
      <w:pPr>
        <w:keepNext w:val="0"/>
        <w:keepLines w:val="0"/>
        <w:pageBreakBefore w:val="0"/>
        <w:numPr>
          <w:ilvl w:val="0"/>
          <w:numId w:val="0"/>
        </w:numPr>
        <w:kinsoku/>
        <w:wordWrap/>
        <w:overflowPunct/>
        <w:topLinePunct w:val="0"/>
        <w:autoSpaceDE/>
        <w:autoSpaceDN/>
        <w:bidi w:val="0"/>
        <w:spacing w:line="240" w:lineRule="auto"/>
        <w:ind w:firstLine="602" w:firstLineChars="200"/>
        <w:textAlignment w:val="auto"/>
        <w:rPr>
          <w:rFonts w:hint="eastAsia" w:asciiTheme="majorEastAsia" w:hAnsiTheme="majorEastAsia" w:eastAsiaTheme="majorEastAsia" w:cstheme="majorEastAsia"/>
          <w:b/>
          <w:bCs/>
          <w:sz w:val="30"/>
          <w:szCs w:val="30"/>
        </w:rPr>
      </w:pPr>
      <w:r>
        <w:rPr>
          <w:rFonts w:hint="eastAsia" w:asciiTheme="majorEastAsia" w:hAnsiTheme="majorEastAsia" w:eastAsiaTheme="majorEastAsia" w:cstheme="majorEastAsia"/>
          <w:b/>
          <w:bCs/>
          <w:sz w:val="30"/>
          <w:szCs w:val="30"/>
          <w:lang w:eastAsia="zh-CN"/>
        </w:rPr>
        <w:t>三、项目总体情况</w:t>
      </w:r>
      <w:bookmarkEnd w:id="26"/>
    </w:p>
    <w:p>
      <w:pPr>
        <w:keepNext w:val="0"/>
        <w:keepLines w:val="0"/>
        <w:pageBreakBefore w:val="0"/>
        <w:kinsoku/>
        <w:wordWrap/>
        <w:overflowPunct/>
        <w:topLinePunct w:val="0"/>
        <w:autoSpaceDE/>
        <w:autoSpaceDN/>
        <w:bidi w:val="0"/>
        <w:spacing w:line="240" w:lineRule="auto"/>
        <w:ind w:firstLine="600" w:firstLineChars="200"/>
        <w:textAlignment w:val="auto"/>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lang w:eastAsia="zh-CN"/>
        </w:rPr>
      </w:pPr>
      <w:bookmarkStart w:id="28" w:name="_Toc22094_WPSOffice_Level2"/>
      <w:r>
        <w:rPr>
          <w:rFonts w:hint="eastAsia" w:ascii="仿宋" w:hAnsi="仿宋" w:eastAsia="仿宋" w:cs="仿宋"/>
          <w:sz w:val="32"/>
          <w:szCs w:val="32"/>
          <w:lang w:val="en-US" w:eastAsia="zh-CN"/>
        </w:rPr>
        <w:t>为切实推进玉田县电子商务进农村综合示范、农产品供应链体系建设等相关工作，我局通过河北臻景工程管理有限公司，采取公开招标的方式，选择杭州百和供应链管理有限公司、张家口网贸港电子商务有限公司，专门负责玉田县2021年电子商务进农村综合示范县项目的实施、承办与宣传，包括电商公共服务体系建设、县乡村三级物流配送体系建设、农村商贸流通企业转型升级体系建设、农村电子商务培训体系建设四个方面。</w:t>
      </w:r>
    </w:p>
    <w:p>
      <w:pPr>
        <w:keepNext w:val="0"/>
        <w:keepLines w:val="0"/>
        <w:pageBreakBefore w:val="0"/>
        <w:numPr>
          <w:ilvl w:val="0"/>
          <w:numId w:val="2"/>
        </w:numPr>
        <w:kinsoku/>
        <w:wordWrap/>
        <w:overflowPunct/>
        <w:topLinePunct w:val="0"/>
        <w:autoSpaceDE/>
        <w:autoSpaceDN/>
        <w:bidi w:val="0"/>
        <w:spacing w:line="240" w:lineRule="auto"/>
        <w:ind w:firstLine="600" w:firstLineChars="200"/>
        <w:textAlignment w:val="auto"/>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keepNext w:val="0"/>
        <w:keepLines w:val="0"/>
        <w:pageBreakBefore w:val="0"/>
        <w:kinsoku/>
        <w:wordWrap/>
        <w:overflowPunct/>
        <w:topLinePunct w:val="0"/>
        <w:autoSpaceDE/>
        <w:autoSpaceDN/>
        <w:bidi w:val="0"/>
        <w:spacing w:line="240" w:lineRule="auto"/>
        <w:ind w:firstLine="640" w:firstLineChars="200"/>
        <w:textAlignment w:val="auto"/>
        <w:rPr>
          <w:rFonts w:hint="default" w:ascii="仿宋" w:hAnsi="仿宋" w:eastAsia="仿宋" w:cs="仿宋"/>
          <w:sz w:val="32"/>
          <w:szCs w:val="32"/>
          <w:lang w:val="en-US" w:eastAsia="zh-CN"/>
        </w:rPr>
      </w:pPr>
      <w:r>
        <w:rPr>
          <w:rFonts w:hint="eastAsia" w:ascii="仿宋_GB2312" w:hAnsi="Times New Roman" w:eastAsia="仿宋_GB2312" w:cs="Times New Roman"/>
          <w:sz w:val="32"/>
          <w:szCs w:val="32"/>
          <w:lang w:val="en-US" w:eastAsia="zh-CN"/>
        </w:rPr>
        <w:t>推动农村商贸流通企业转型升级，使农村流通现代化水平明显提升，农村网络零售额显著增长，发挥电商企业的主体作用，强化电商培训，带动就业增收，完善农村电子商务公共服务体系，健全县乡村三级物流配送体系，支持推进电子商务进农村综合示范、农产品供应链体系建设工作。</w:t>
      </w:r>
    </w:p>
    <w:p>
      <w:pPr>
        <w:keepNext w:val="0"/>
        <w:keepLines w:val="0"/>
        <w:pageBreakBefore w:val="0"/>
        <w:numPr>
          <w:ilvl w:val="0"/>
          <w:numId w:val="2"/>
        </w:numPr>
        <w:kinsoku/>
        <w:wordWrap/>
        <w:overflowPunct/>
        <w:topLinePunct w:val="0"/>
        <w:autoSpaceDE/>
        <w:autoSpaceDN/>
        <w:bidi w:val="0"/>
        <w:spacing w:line="240" w:lineRule="auto"/>
        <w:ind w:left="0" w:leftChars="0" w:firstLine="600" w:firstLineChars="200"/>
        <w:textAlignment w:val="auto"/>
        <w:outlineLvl w:val="0"/>
        <w:rPr>
          <w:rFonts w:hint="eastAsia" w:ascii="仿宋" w:hAnsi="仿宋" w:eastAsia="仿宋" w:cs="仿宋"/>
          <w:lang w:eastAsia="zh-CN"/>
        </w:rPr>
      </w:pPr>
      <w:bookmarkStart w:id="29" w:name="_Toc18801_WPSOffice_Level2"/>
      <w:r>
        <w:rPr>
          <w:rFonts w:hint="eastAsia" w:ascii="仿宋" w:hAnsi="仿宋" w:eastAsia="仿宋" w:cs="仿宋"/>
          <w:lang w:eastAsia="zh-CN"/>
        </w:rPr>
        <w:t>项目分项绩效目标</w:t>
      </w:r>
      <w:bookmarkEnd w:id="29"/>
      <w:bookmarkStart w:id="30" w:name="_Toc14430_WPSOffice_Level1"/>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项目共设产出指标、效益指标和满意度指标三个一级指标，下设1</w:t>
      </w:r>
      <w:r>
        <w:rPr>
          <w:rFonts w:hint="eastAsia" w:ascii="仿宋_GB2312" w:hAnsi="Times New Roman" w:cs="Times New Roman"/>
          <w:sz w:val="32"/>
          <w:szCs w:val="32"/>
          <w:lang w:val="en-US" w:eastAsia="zh-CN"/>
        </w:rPr>
        <w:t>5</w:t>
      </w:r>
      <w:r>
        <w:rPr>
          <w:rFonts w:hint="eastAsia" w:ascii="仿宋_GB2312" w:hAnsi="Times New Roman" w:eastAsia="仿宋_GB2312" w:cs="Times New Roman"/>
          <w:sz w:val="32"/>
          <w:szCs w:val="32"/>
          <w:lang w:val="en-US" w:eastAsia="zh-CN"/>
        </w:rPr>
        <w:t>个二、三级指标。</w:t>
      </w:r>
      <w:r>
        <w:rPr>
          <w:rFonts w:hint="eastAsia" w:ascii="仿宋_GB2312" w:hAnsi="Times New Roman" w:cs="Times New Roman"/>
          <w:sz w:val="32"/>
          <w:szCs w:val="32"/>
          <w:lang w:val="en-US" w:eastAsia="zh-CN"/>
        </w:rPr>
        <w:t>2021年中央服务业发展资金绩效目标表格</w:t>
      </w:r>
      <w:r>
        <w:rPr>
          <w:rFonts w:hint="eastAsia" w:ascii="仿宋_GB2312" w:hAnsi="Times New Roman" w:eastAsia="仿宋_GB2312" w:cs="Times New Roman"/>
          <w:sz w:val="32"/>
          <w:szCs w:val="32"/>
          <w:lang w:val="en-US" w:eastAsia="zh-CN"/>
        </w:rPr>
        <w:t>指标如下：</w:t>
      </w:r>
    </w:p>
    <w:tbl>
      <w:tblPr>
        <w:tblStyle w:val="6"/>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383"/>
        <w:gridCol w:w="1383"/>
        <w:gridCol w:w="1383"/>
        <w:gridCol w:w="1383"/>
        <w:gridCol w:w="1383"/>
        <w:gridCol w:w="138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14" w:hRule="atLeast"/>
          <w:tblHeader/>
          <w:jc w:val="center"/>
        </w:trPr>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b/>
                <w:kern w:val="2"/>
                <w:sz w:val="21"/>
                <w:szCs w:val="24"/>
                <w:lang w:val="en-US" w:eastAsia="zh-CN" w:bidi="ar-SA"/>
              </w:rPr>
            </w:pPr>
            <w:r>
              <w:rPr>
                <w:rFonts w:ascii="方正书宋_GBK" w:hAnsi="方正书宋_GBK" w:eastAsia="方正书宋_GBK" w:cs="方正书宋_GBK"/>
                <w:b/>
                <w:kern w:val="2"/>
                <w:sz w:val="21"/>
                <w:szCs w:val="24"/>
                <w:lang w:val="en-US" w:eastAsia="zh-CN" w:bidi="ar-SA"/>
              </w:rPr>
              <w:t>一级指标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b/>
                <w:kern w:val="2"/>
                <w:sz w:val="21"/>
                <w:szCs w:val="24"/>
                <w:lang w:val="en-US" w:eastAsia="zh-CN" w:bidi="ar-SA"/>
              </w:rPr>
            </w:pPr>
            <w:r>
              <w:rPr>
                <w:rFonts w:ascii="方正书宋_GBK" w:hAnsi="方正书宋_GBK" w:eastAsia="方正书宋_GBK" w:cs="方正书宋_GBK"/>
                <w:b/>
                <w:kern w:val="2"/>
                <w:sz w:val="21"/>
                <w:szCs w:val="24"/>
                <w:lang w:val="en-US" w:eastAsia="zh-CN" w:bidi="ar-SA"/>
              </w:rPr>
              <w:t>二级指标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b/>
                <w:kern w:val="2"/>
                <w:sz w:val="21"/>
                <w:szCs w:val="24"/>
                <w:lang w:val="en-US" w:eastAsia="zh-CN" w:bidi="ar-SA"/>
              </w:rPr>
            </w:pPr>
            <w:r>
              <w:rPr>
                <w:rFonts w:ascii="方正书宋_GBK" w:hAnsi="方正书宋_GBK" w:eastAsia="方正书宋_GBK" w:cs="方正书宋_GBK"/>
                <w:b/>
                <w:kern w:val="2"/>
                <w:sz w:val="21"/>
                <w:szCs w:val="24"/>
                <w:lang w:val="en-US" w:eastAsia="zh-CN" w:bidi="ar-SA"/>
              </w:rPr>
              <w:t>三级指标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b/>
                <w:kern w:val="2"/>
                <w:sz w:val="21"/>
                <w:szCs w:val="24"/>
                <w:lang w:val="en-US" w:eastAsia="zh-CN" w:bidi="ar-SA"/>
              </w:rPr>
            </w:pPr>
            <w:r>
              <w:rPr>
                <w:rFonts w:ascii="方正书宋_GBK" w:hAnsi="方正书宋_GBK" w:eastAsia="方正书宋_GBK" w:cs="方正书宋_GBK"/>
                <w:b/>
                <w:kern w:val="2"/>
                <w:sz w:val="21"/>
                <w:szCs w:val="24"/>
                <w:lang w:val="en-US" w:eastAsia="zh-CN" w:bidi="ar-SA"/>
              </w:rPr>
              <w:t>绩效指标描述</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b/>
                <w:kern w:val="2"/>
                <w:sz w:val="21"/>
                <w:szCs w:val="24"/>
                <w:lang w:val="en-US" w:eastAsia="zh-CN" w:bidi="ar-SA"/>
              </w:rPr>
            </w:pPr>
            <w:r>
              <w:rPr>
                <w:rFonts w:ascii="方正书宋_GBK" w:hAnsi="方正书宋_GBK" w:eastAsia="方正书宋_GBK" w:cs="方正书宋_GBK"/>
                <w:b/>
                <w:kern w:val="2"/>
                <w:sz w:val="21"/>
                <w:szCs w:val="24"/>
                <w:lang w:val="en-US" w:eastAsia="zh-CN" w:bidi="ar-SA"/>
              </w:rPr>
              <w:t>指标值</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b/>
                <w:kern w:val="2"/>
                <w:sz w:val="21"/>
                <w:szCs w:val="24"/>
                <w:lang w:val="en-US" w:eastAsia="zh-CN" w:bidi="ar-SA"/>
              </w:rPr>
            </w:pPr>
            <w:r>
              <w:rPr>
                <w:rFonts w:ascii="方正书宋_GBK" w:hAnsi="方正书宋_GBK" w:eastAsia="方正书宋_GBK" w:cs="方正书宋_GBK"/>
                <w:b/>
                <w:kern w:val="2"/>
                <w:sz w:val="21"/>
                <w:szCs w:val="24"/>
                <w:lang w:val="en-US" w:eastAsia="zh-CN" w:bidi="ar-SA"/>
              </w:rPr>
              <w:t>指标值确定依据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990" w:hRule="atLeast"/>
          <w:jc w:val="center"/>
        </w:trPr>
        <w:tc>
          <w:tcPr>
            <w:tcW w:w="1383" w:type="dxa"/>
            <w:vMerge w:val="restart"/>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产出指标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数量指标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示范县农村电商服务在行政村服务覆盖率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示范县农村电商服务在行政村服务覆盖率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≥50百分比</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459"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数量指标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示范县开展电商培训次数</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示范县开展电商培训次数</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≥3000人次</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262"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数量指标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示范县物流配送中心，乡镇商贸中心，新型乡村电商服务站（便利店）升级改造</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示范县物流配送中心，乡镇商贸中心，新型乡村电商服务站（便利店）升级改造</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≥400个</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91"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数量指标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新增农村网商（店）</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新增农村网商（店）</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≥50个</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073"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质量指标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示范县提升农产品标准化程度，完善企业标准或地方标准</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示范县提升农产品标准化程度，完善企业标准或地方标准</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≥1个</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724"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质量指标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示范县提升农产品品牌化程度，推广县域公用品牌或农产品品牌</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示范县提升农产品品牌化程度，推广县域公用品牌或农产品品牌</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≥1个</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897"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时效指标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按时完成工作</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按时完成工作</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按时完成工作，完善农村电子商务公共服务体系</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31"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成本指标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资金成本</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资金成本</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≤1000万元</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858" w:hRule="atLeast"/>
          <w:jc w:val="center"/>
        </w:trPr>
        <w:tc>
          <w:tcPr>
            <w:tcW w:w="1383" w:type="dxa"/>
            <w:vMerge w:val="restart"/>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效益指标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经济效益指标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示范县农产品网络零售额同比增速</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示范县农产品网络零售额同比增速</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≥30百分比</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67"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社会效益指标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示范县农村网络零售额同比增速</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示范县农村网络零售额同比增速</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≥30百分比</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208"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生态效益指标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示范县促进电商精准扶贫，对接电商企业，落地电商帮扶项目</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示范县促进电商精准扶贫，对接电商企业，落地电商帮扶项目</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≥2个</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897"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可持续影响指标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示范县电商典型案例与做法得到宣传推广</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示范县电商典型案例与做法得到宣传推广</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≥2个</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267" w:hRule="atLeast"/>
          <w:jc w:val="center"/>
        </w:trPr>
        <w:tc>
          <w:tcPr>
            <w:tcW w:w="1383" w:type="dxa"/>
            <w:vMerge w:val="restart"/>
            <w:vAlign w:val="center"/>
          </w:tcPr>
          <w:p>
            <w:pPr>
              <w:keepNext w:val="0"/>
              <w:keepLines w:val="0"/>
              <w:pageBreakBefore w:val="0"/>
              <w:widowControl w:val="0"/>
              <w:kinsoku/>
              <w:wordWrap/>
              <w:overflowPunct/>
              <w:topLinePunct w:val="0"/>
              <w:autoSpaceDE/>
              <w:autoSpaceDN/>
              <w:bidi w:val="0"/>
              <w:spacing w:before="0" w:after="0" w:line="240" w:lineRule="auto"/>
              <w:ind w:firstLine="0"/>
              <w:jc w:val="center"/>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满意度指标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服务对象满意度指标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企业满意度</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企业满意度</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≥80百分比</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945"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服务对象满意度指标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满意率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满意率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≥80百分比</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2886" w:hRule="atLeast"/>
          <w:jc w:val="center"/>
        </w:trPr>
        <w:tc>
          <w:tcPr>
            <w:tcW w:w="1383" w:type="dxa"/>
            <w:vMerge w:val="continue"/>
            <w:vAlign w:val="center"/>
          </w:tcPr>
          <w:p>
            <w:pPr>
              <w:keepNext w:val="0"/>
              <w:keepLines w:val="0"/>
              <w:pageBreakBefore w:val="0"/>
              <w:kinsoku/>
              <w:wordWrap/>
              <w:overflowPunct/>
              <w:topLinePunct w:val="0"/>
              <w:autoSpaceDE/>
              <w:autoSpaceDN/>
              <w:bidi w:val="0"/>
              <w:spacing w:line="240" w:lineRule="auto"/>
              <w:textAlignment w:val="auto"/>
              <w:rPr>
                <w:rFonts w:ascii="Times New Roman" w:hAnsi="Times New Roman" w:eastAsia="Times New Roman" w:cs="Times New Roman"/>
                <w:sz w:val="24"/>
                <w:szCs w:val="24"/>
                <w:lang w:val="en-US" w:eastAsia="uk-UA" w:bidi="ar-SA"/>
              </w:rPr>
            </w:pP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服务对象满意度指标</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通过走访调研，测定2021年示范县村站对县服务中心满意程度</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通过走访调研，测定2021年示范县村站对县服务中心满意程度</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≥80百分比</w:t>
            </w:r>
          </w:p>
        </w:tc>
        <w:tc>
          <w:tcPr>
            <w:tcW w:w="1383" w:type="dxa"/>
            <w:vAlign w:val="center"/>
          </w:tcPr>
          <w:p>
            <w:pPr>
              <w:keepNext w:val="0"/>
              <w:keepLines w:val="0"/>
              <w:pageBreakBefore w:val="0"/>
              <w:widowControl w:val="0"/>
              <w:kinsoku/>
              <w:wordWrap/>
              <w:overflowPunct/>
              <w:topLinePunct w:val="0"/>
              <w:autoSpaceDE/>
              <w:autoSpaceDN/>
              <w:bidi w:val="0"/>
              <w:spacing w:before="0" w:after="0" w:line="240" w:lineRule="auto"/>
              <w:ind w:firstLine="0"/>
              <w:jc w:val="left"/>
              <w:textAlignment w:val="auto"/>
              <w:outlineLvl w:val="9"/>
              <w:rPr>
                <w:rFonts w:ascii="方正书宋_GBK" w:hAnsi="方正书宋_GBK" w:eastAsia="方正书宋_GBK" w:cs="方正书宋_GBK"/>
                <w:kern w:val="2"/>
                <w:sz w:val="21"/>
                <w:szCs w:val="24"/>
                <w:lang w:val="en-US" w:eastAsia="zh-CN" w:bidi="ar-SA"/>
              </w:rPr>
            </w:pPr>
            <w:r>
              <w:rPr>
                <w:rFonts w:ascii="方正书宋_GBK" w:hAnsi="方正书宋_GBK" w:eastAsia="方正书宋_GBK" w:cs="方正书宋_GBK"/>
                <w:kern w:val="2"/>
                <w:sz w:val="21"/>
                <w:szCs w:val="24"/>
                <w:lang w:val="en-US" w:eastAsia="zh-CN" w:bidi="ar-SA"/>
              </w:rPr>
              <w:t>冀财建【2021】95号</w:t>
            </w:r>
          </w:p>
        </w:tc>
      </w:tr>
    </w:tbl>
    <w:p>
      <w:pPr>
        <w:keepNext w:val="0"/>
        <w:keepLines w:val="0"/>
        <w:pageBreakBefore w:val="0"/>
        <w:numPr>
          <w:ilvl w:val="0"/>
          <w:numId w:val="0"/>
        </w:numPr>
        <w:kinsoku/>
        <w:wordWrap/>
        <w:overflowPunct/>
        <w:topLinePunct w:val="0"/>
        <w:autoSpaceDE/>
        <w:autoSpaceDN/>
        <w:bidi w:val="0"/>
        <w:spacing w:line="240" w:lineRule="auto"/>
        <w:ind w:leftChars="200"/>
        <w:textAlignment w:val="auto"/>
        <w:rPr>
          <w:rFonts w:hint="eastAsia" w:asciiTheme="majorEastAsia" w:hAnsiTheme="majorEastAsia" w:eastAsiaTheme="majorEastAsia" w:cstheme="majorEastAsia"/>
          <w:b/>
          <w:bCs/>
          <w:lang w:eastAsia="zh-CN"/>
        </w:rPr>
      </w:pPr>
      <w:r>
        <w:rPr>
          <w:rFonts w:hint="eastAsia" w:asciiTheme="majorEastAsia" w:hAnsiTheme="majorEastAsia" w:eastAsiaTheme="majorEastAsia" w:cstheme="majorEastAsia"/>
          <w:b/>
          <w:bCs/>
          <w:lang w:eastAsia="zh-CN"/>
        </w:rPr>
        <w:t>四、项目基本情况</w:t>
      </w:r>
      <w:bookmarkEnd w:id="30"/>
    </w:p>
    <w:p>
      <w:pPr>
        <w:keepNext w:val="0"/>
        <w:keepLines w:val="0"/>
        <w:pageBreakBefore w:val="0"/>
        <w:kinsoku/>
        <w:wordWrap/>
        <w:overflowPunct/>
        <w:topLinePunct w:val="0"/>
        <w:autoSpaceDE/>
        <w:autoSpaceDN/>
        <w:bidi w:val="0"/>
        <w:spacing w:line="240" w:lineRule="auto"/>
        <w:ind w:firstLine="600" w:firstLineChars="200"/>
        <w:textAlignment w:val="auto"/>
        <w:outlineLvl w:val="0"/>
        <w:rPr>
          <w:rFonts w:hint="eastAsia" w:ascii="仿宋" w:hAnsi="仿宋" w:eastAsia="仿宋" w:cs="仿宋"/>
        </w:rPr>
      </w:pPr>
      <w:bookmarkStart w:id="31" w:name="_Toc4550_WPSOffice_Level2"/>
      <w:r>
        <w:rPr>
          <w:rFonts w:hint="eastAsia" w:ascii="仿宋" w:hAnsi="仿宋" w:eastAsia="仿宋" w:cs="仿宋"/>
        </w:rPr>
        <w:t>（一）项目决策情况。</w:t>
      </w:r>
      <w:bookmarkEnd w:id="31"/>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为切实推进玉田县电子商务进农村综合示范、农产品供应链体系建设等相关工作，我局通过河北臻景工程管理有限公司，采取公开招标的方式，选择杭州百和供应链管理有限公司、张家口网贸港电子商务有限公司，专门负责玉田县2021年电子商务进农村综合示范县项目的实施、承办与宣传，包括电商公共服务体系建设、县乡村三级物流配送体系建设、农村商贸流通企业转型升级体系建设、农村电子商务培训体系建设四个方面。</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43分</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绩效目标单位得分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keepNext w:val="0"/>
        <w:keepLines w:val="0"/>
        <w:pageBreakBefore w:val="0"/>
        <w:kinsoku/>
        <w:wordWrap/>
        <w:overflowPunct/>
        <w:topLinePunct w:val="0"/>
        <w:autoSpaceDE/>
        <w:autoSpaceDN/>
        <w:bidi w:val="0"/>
        <w:spacing w:line="240" w:lineRule="auto"/>
        <w:ind w:firstLine="600" w:firstLineChars="200"/>
        <w:textAlignment w:val="auto"/>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为保证2021年中央服务业发展资金项目（玉田县2021年电子商务进农村综合示范县项目）顺利进展，截至2023年12月31日，我局拨付项目前期经费400万元。</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项目过程整体得</w:t>
      </w:r>
      <w:r>
        <w:rPr>
          <w:rFonts w:hint="eastAsia" w:ascii="仿宋" w:hAnsi="仿宋" w:eastAsia="仿宋" w:cs="仿宋"/>
          <w:sz w:val="32"/>
          <w:szCs w:val="32"/>
          <w:lang w:val="en-US" w:eastAsia="zh-CN"/>
        </w:rPr>
        <w:t>29</w:t>
      </w:r>
      <w:r>
        <w:rPr>
          <w:rFonts w:hint="eastAsia" w:ascii="仿宋" w:hAnsi="仿宋" w:eastAsia="仿宋" w:cs="仿宋"/>
          <w:sz w:val="32"/>
          <w:szCs w:val="32"/>
        </w:rPr>
        <w:t>分 。</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keepNext w:val="0"/>
        <w:keepLines w:val="0"/>
        <w:pageBreakBefore w:val="0"/>
        <w:kinsoku/>
        <w:wordWrap/>
        <w:overflowPunct/>
        <w:topLinePunct w:val="0"/>
        <w:autoSpaceDE/>
        <w:autoSpaceDN/>
        <w:bidi w:val="0"/>
        <w:spacing w:line="240" w:lineRule="auto"/>
        <w:ind w:firstLine="600" w:firstLineChars="200"/>
        <w:textAlignment w:val="auto"/>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中央服务业发展资金项目（玉田县2021年电子商务进农村综合示范县项目）推动农村商贸流通企业转型升级，使农村流通现代化水平明显提升，农村网络零售额显著增长，发挥电商企业的主体作用，强化电商培训，带动就业增收，完善农村电子商务公共服务体系，健全县乡村三级物流配送体系。</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12分</w:t>
      </w:r>
      <w:r>
        <w:rPr>
          <w:rFonts w:hint="eastAsia" w:ascii="仿宋" w:hAnsi="仿宋" w:eastAsia="仿宋" w:cs="仿宋"/>
          <w:sz w:val="32"/>
          <w:szCs w:val="32"/>
        </w:rPr>
        <w:t xml:space="preserve"> 。</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5</w:t>
      </w:r>
      <w:r>
        <w:rPr>
          <w:rFonts w:hint="eastAsia" w:ascii="仿宋" w:hAnsi="仿宋" w:eastAsia="仿宋" w:cs="仿宋"/>
          <w:sz w:val="32"/>
          <w:szCs w:val="32"/>
        </w:rPr>
        <w:t>分。项目实施的实际产出数与计划产出数的比率</w:t>
      </w:r>
      <w:r>
        <w:rPr>
          <w:rFonts w:hint="eastAsia" w:ascii="仿宋" w:hAnsi="仿宋" w:eastAsia="仿宋" w:cs="仿宋"/>
          <w:sz w:val="32"/>
          <w:szCs w:val="32"/>
          <w:lang w:val="en-US" w:eastAsia="zh-CN"/>
        </w:rPr>
        <w:t>基本</w:t>
      </w:r>
      <w:r>
        <w:rPr>
          <w:rFonts w:hint="eastAsia" w:ascii="仿宋" w:hAnsi="仿宋" w:eastAsia="仿宋" w:cs="仿宋"/>
          <w:sz w:val="32"/>
          <w:szCs w:val="32"/>
        </w:rPr>
        <w:t>相符。产出质量</w:t>
      </w:r>
      <w:r>
        <w:rPr>
          <w:rFonts w:hint="eastAsia" w:ascii="仿宋" w:hAnsi="仿宋" w:eastAsia="仿宋" w:cs="仿宋"/>
          <w:sz w:val="32"/>
          <w:szCs w:val="32"/>
          <w:lang w:val="en-US" w:eastAsia="zh-CN"/>
        </w:rPr>
        <w:t>3</w:t>
      </w:r>
      <w:r>
        <w:rPr>
          <w:rFonts w:hint="eastAsia" w:ascii="仿宋" w:hAnsi="仿宋" w:eastAsia="仿宋" w:cs="仿宋"/>
          <w:sz w:val="32"/>
          <w:szCs w:val="32"/>
        </w:rPr>
        <w:t>分。质量达标产出数一定时期（本年度或项目期）内实际达到既定质量标准的产品或服务数量。产出时效</w:t>
      </w:r>
      <w:r>
        <w:rPr>
          <w:rFonts w:hint="eastAsia" w:ascii="仿宋" w:hAnsi="仿宋" w:eastAsia="仿宋" w:cs="仿宋"/>
          <w:sz w:val="32"/>
          <w:szCs w:val="32"/>
          <w:lang w:val="en-US" w:eastAsia="zh-CN"/>
        </w:rPr>
        <w:t>3</w:t>
      </w:r>
      <w:r>
        <w:rPr>
          <w:rFonts w:hint="eastAsia" w:ascii="仿宋" w:hAnsi="仿宋" w:eastAsia="仿宋" w:cs="仿宋"/>
          <w:sz w:val="32"/>
          <w:szCs w:val="32"/>
        </w:rPr>
        <w:t>分。实际完成时间、计划完成时间反映和考核项目产出时效目标的实现程度。产出成本</w:t>
      </w:r>
      <w:r>
        <w:rPr>
          <w:rFonts w:hint="eastAsia" w:ascii="仿宋" w:hAnsi="仿宋" w:eastAsia="仿宋" w:cs="仿宋"/>
          <w:sz w:val="32"/>
          <w:szCs w:val="32"/>
          <w:lang w:val="en-US" w:eastAsia="zh-CN"/>
        </w:rPr>
        <w:t>5</w:t>
      </w:r>
      <w:r>
        <w:rPr>
          <w:rFonts w:hint="eastAsia" w:ascii="仿宋" w:hAnsi="仿宋" w:eastAsia="仿宋" w:cs="仿宋"/>
          <w:sz w:val="32"/>
          <w:szCs w:val="32"/>
        </w:rPr>
        <w:t>分。完成项目计划工作目标的实际节约成本与计划成本的比率，考核项目的成本节约程度。</w:t>
      </w:r>
    </w:p>
    <w:p>
      <w:pPr>
        <w:keepNext w:val="0"/>
        <w:keepLines w:val="0"/>
        <w:pageBreakBefore w:val="0"/>
        <w:kinsoku/>
        <w:wordWrap/>
        <w:overflowPunct/>
        <w:topLinePunct w:val="0"/>
        <w:autoSpaceDE/>
        <w:autoSpaceDN/>
        <w:bidi w:val="0"/>
        <w:spacing w:line="240" w:lineRule="auto"/>
        <w:ind w:firstLine="600" w:firstLineChars="200"/>
        <w:textAlignment w:val="auto"/>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2</w:t>
      </w:r>
      <w:r>
        <w:rPr>
          <w:rFonts w:hint="eastAsia" w:ascii="仿宋" w:hAnsi="仿宋" w:eastAsia="仿宋" w:cs="仿宋"/>
          <w:sz w:val="32"/>
          <w:szCs w:val="32"/>
        </w:rPr>
        <w:t>分。</w:t>
      </w:r>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lang w:eastAsia="zh-CN"/>
        </w:rPr>
      </w:pPr>
      <w:r>
        <w:rPr>
          <w:rFonts w:hint="eastAsia" w:ascii="仿宋" w:hAnsi="仿宋" w:eastAsia="仿宋" w:cs="仿宋"/>
          <w:sz w:val="32"/>
          <w:szCs w:val="32"/>
        </w:rPr>
        <w:t>其中：项目效益</w:t>
      </w:r>
      <w:r>
        <w:rPr>
          <w:rFonts w:hint="eastAsia" w:ascii="仿宋" w:hAnsi="仿宋" w:eastAsia="仿宋" w:cs="仿宋"/>
          <w:sz w:val="32"/>
          <w:szCs w:val="32"/>
          <w:lang w:val="en-US" w:eastAsia="zh-CN"/>
        </w:rPr>
        <w:t>2</w:t>
      </w:r>
      <w:r>
        <w:rPr>
          <w:rFonts w:hint="eastAsia" w:ascii="仿宋" w:hAnsi="仿宋" w:eastAsia="仿宋" w:cs="仿宋"/>
          <w:sz w:val="32"/>
          <w:szCs w:val="32"/>
        </w:rPr>
        <w:t>分。</w:t>
      </w:r>
      <w:r>
        <w:rPr>
          <w:rFonts w:hint="eastAsia" w:ascii="仿宋" w:hAnsi="仿宋" w:eastAsia="仿宋" w:cs="仿宋"/>
          <w:sz w:val="32"/>
          <w:szCs w:val="32"/>
          <w:lang w:val="en-US" w:eastAsia="zh-CN"/>
        </w:rPr>
        <w:t>2021年中央服务业发展资金项目（玉田县2021年电子商务进农村综合示范县项目）有效促进农产品网络零售额同比增速达30%以上，收到了电子商务重点企业和广大人民群众的一致好评，取得了良好的社会效益</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spacing w:line="240" w:lineRule="auto"/>
        <w:ind w:firstLine="602" w:firstLineChars="200"/>
        <w:textAlignment w:val="auto"/>
        <w:rPr>
          <w:rFonts w:hint="eastAsia" w:asciiTheme="majorEastAsia" w:hAnsiTheme="majorEastAsia" w:eastAsiaTheme="majorEastAsia" w:cstheme="majorEastAsia"/>
          <w:b/>
          <w:bCs/>
        </w:rPr>
      </w:pPr>
      <w:bookmarkStart w:id="35" w:name="_Toc7777_WPSOffice_Level1"/>
      <w:r>
        <w:rPr>
          <w:rFonts w:hint="eastAsia" w:asciiTheme="majorEastAsia" w:hAnsiTheme="majorEastAsia" w:eastAsiaTheme="majorEastAsia" w:cstheme="majorEastAsia"/>
          <w:b/>
          <w:bCs/>
          <w:lang w:eastAsia="zh-CN"/>
        </w:rPr>
        <w:t>五</w:t>
      </w:r>
      <w:r>
        <w:rPr>
          <w:rFonts w:hint="eastAsia" w:asciiTheme="majorEastAsia" w:hAnsiTheme="majorEastAsia" w:eastAsiaTheme="majorEastAsia" w:cstheme="majorEastAsia"/>
          <w:b/>
          <w:bCs/>
        </w:rPr>
        <w:t>、绩效评价结果</w:t>
      </w:r>
      <w:bookmarkEnd w:id="35"/>
    </w:p>
    <w:p>
      <w:pPr>
        <w:keepNext w:val="0"/>
        <w:keepLines w:val="0"/>
        <w:pageBreakBefore w:val="0"/>
        <w:kinsoku/>
        <w:wordWrap/>
        <w:overflowPunct/>
        <w:topLinePunct w:val="0"/>
        <w:autoSpaceDE/>
        <w:autoSpaceDN/>
        <w:bidi w:val="0"/>
        <w:spacing w:line="240" w:lineRule="auto"/>
        <w:ind w:firstLine="640" w:firstLineChars="200"/>
        <w:textAlignment w:val="auto"/>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90</w:t>
      </w:r>
      <w:r>
        <w:rPr>
          <w:rFonts w:hint="eastAsia" w:ascii="仿宋" w:hAnsi="仿宋" w:eastAsia="仿宋" w:cs="仿宋"/>
          <w:sz w:val="32"/>
          <w:szCs w:val="32"/>
        </w:rPr>
        <w:t>分。优秀（≥90分）。</w:t>
      </w:r>
    </w:p>
    <w:p>
      <w:pPr>
        <w:keepNext w:val="0"/>
        <w:keepLines w:val="0"/>
        <w:pageBreakBefore w:val="0"/>
        <w:kinsoku/>
        <w:wordWrap/>
        <w:overflowPunct/>
        <w:topLinePunct w:val="0"/>
        <w:autoSpaceDE/>
        <w:autoSpaceDN/>
        <w:bidi w:val="0"/>
        <w:spacing w:line="240" w:lineRule="auto"/>
        <w:ind w:firstLine="602" w:firstLineChars="200"/>
        <w:textAlignment w:val="auto"/>
        <w:rPr>
          <w:rFonts w:hint="eastAsia" w:asciiTheme="majorEastAsia" w:hAnsiTheme="majorEastAsia" w:eastAsiaTheme="majorEastAsia" w:cstheme="majorEastAsia"/>
          <w:b/>
          <w:bCs/>
          <w:lang w:eastAsia="zh-CN"/>
        </w:rPr>
      </w:pPr>
      <w:bookmarkStart w:id="36" w:name="_Toc24196_WPSOffice_Level1"/>
      <w:r>
        <w:rPr>
          <w:rFonts w:hint="eastAsia" w:asciiTheme="majorEastAsia" w:hAnsiTheme="majorEastAsia" w:eastAsiaTheme="majorEastAsia" w:cstheme="majorEastAsia"/>
          <w:b/>
          <w:bCs/>
          <w:lang w:eastAsia="zh-CN"/>
        </w:rPr>
        <w:t>六、存在的问题及原因分析</w:t>
      </w:r>
      <w:bookmarkEnd w:id="36"/>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在项目过程中，资金管理预算执行率</w:t>
      </w:r>
      <w:r>
        <w:rPr>
          <w:rFonts w:hint="eastAsia" w:ascii="仿宋" w:hAnsi="仿宋" w:eastAsia="仿宋" w:cs="仿宋"/>
          <w:sz w:val="32"/>
          <w:szCs w:val="32"/>
          <w:lang w:val="en-US" w:eastAsia="zh-CN"/>
        </w:rPr>
        <w:t>偏</w:t>
      </w:r>
      <w:r>
        <w:rPr>
          <w:rFonts w:hint="eastAsia" w:ascii="仿宋" w:hAnsi="仿宋" w:eastAsia="仿宋" w:cs="仿宋"/>
          <w:sz w:val="32"/>
          <w:szCs w:val="32"/>
        </w:rPr>
        <w:t>低，</w:t>
      </w:r>
      <w:r>
        <w:rPr>
          <w:rFonts w:hint="eastAsia" w:ascii="仿宋" w:hAnsi="仿宋" w:eastAsia="仿宋" w:cs="仿宋"/>
          <w:sz w:val="32"/>
          <w:szCs w:val="32"/>
          <w:lang w:val="en-US" w:eastAsia="zh-CN"/>
        </w:rPr>
        <w:t>资金支出集中在第四季度</w:t>
      </w:r>
      <w:r>
        <w:rPr>
          <w:rFonts w:hint="eastAsia" w:ascii="仿宋" w:hAnsi="仿宋" w:eastAsia="仿宋" w:cs="仿宋"/>
          <w:sz w:val="32"/>
          <w:szCs w:val="32"/>
        </w:rPr>
        <w:t>。</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keepNext w:val="0"/>
        <w:keepLines w:val="0"/>
        <w:pageBreakBefore w:val="0"/>
        <w:kinsoku/>
        <w:wordWrap/>
        <w:overflowPunct/>
        <w:topLinePunct w:val="0"/>
        <w:autoSpaceDE/>
        <w:autoSpaceDN/>
        <w:bidi w:val="0"/>
        <w:spacing w:line="240" w:lineRule="auto"/>
        <w:ind w:firstLine="602" w:firstLineChars="200"/>
        <w:textAlignment w:val="auto"/>
        <w:rPr>
          <w:rFonts w:hint="eastAsia" w:asciiTheme="majorEastAsia" w:hAnsiTheme="majorEastAsia" w:eastAsiaTheme="majorEastAsia" w:cstheme="majorEastAsia"/>
          <w:b/>
          <w:bCs/>
          <w:lang w:eastAsia="zh-CN"/>
        </w:rPr>
      </w:pPr>
      <w:bookmarkStart w:id="37" w:name="_Toc13523_WPSOffice_Level1"/>
      <w:r>
        <w:rPr>
          <w:rFonts w:hint="eastAsia" w:asciiTheme="majorEastAsia" w:hAnsiTheme="majorEastAsia" w:eastAsiaTheme="majorEastAsia" w:cstheme="majorEastAsia"/>
          <w:b/>
          <w:bCs/>
          <w:lang w:eastAsia="zh-CN"/>
        </w:rPr>
        <w:t>七、有关建议</w:t>
      </w:r>
      <w:bookmarkEnd w:id="37"/>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keepNext w:val="0"/>
        <w:keepLines w:val="0"/>
        <w:pageBreakBefore w:val="0"/>
        <w:kinsoku/>
        <w:wordWrap/>
        <w:overflowPunct/>
        <w:topLinePunct w:val="0"/>
        <w:autoSpaceDE/>
        <w:autoSpaceDN/>
        <w:bidi w:val="0"/>
        <w:spacing w:line="240" w:lineRule="auto"/>
        <w:ind w:firstLine="602" w:firstLineChars="200"/>
        <w:textAlignment w:val="auto"/>
        <w:rPr>
          <w:rFonts w:hint="eastAsia" w:asciiTheme="majorEastAsia" w:hAnsiTheme="majorEastAsia" w:eastAsiaTheme="majorEastAsia" w:cstheme="majorEastAsia"/>
          <w:b/>
          <w:bCs/>
          <w:lang w:val="en-US" w:eastAsia="zh-CN"/>
        </w:rPr>
      </w:pPr>
      <w:bookmarkStart w:id="38" w:name="_Toc7856_WPSOffice_Level1"/>
      <w:r>
        <w:rPr>
          <w:rFonts w:hint="eastAsia" w:asciiTheme="majorEastAsia" w:hAnsiTheme="majorEastAsia" w:eastAsiaTheme="majorEastAsia" w:cstheme="majorEastAsia"/>
          <w:b/>
          <w:bCs/>
          <w:lang w:val="en-US" w:eastAsia="zh-CN"/>
        </w:rPr>
        <w:t>八、</w:t>
      </w:r>
      <w:r>
        <w:rPr>
          <w:rFonts w:hint="eastAsia" w:asciiTheme="majorEastAsia" w:hAnsiTheme="majorEastAsia" w:eastAsiaTheme="majorEastAsia" w:cstheme="majorEastAsia"/>
          <w:b/>
          <w:bCs/>
          <w:lang w:eastAsia="zh-CN"/>
        </w:rPr>
        <w:t>其他需要说明的问题</w:t>
      </w:r>
      <w:bookmarkEnd w:id="38"/>
    </w:p>
    <w:p>
      <w:pPr>
        <w:keepNext w:val="0"/>
        <w:keepLines w:val="0"/>
        <w:pageBreakBefore w:val="0"/>
        <w:numPr>
          <w:ilvl w:val="0"/>
          <w:numId w:val="0"/>
        </w:numPr>
        <w:kinsoku/>
        <w:wordWrap/>
        <w:overflowPunct/>
        <w:topLinePunct w:val="0"/>
        <w:autoSpaceDE/>
        <w:autoSpaceDN/>
        <w:bidi w:val="0"/>
        <w:spacing w:line="240" w:lineRule="auto"/>
        <w:ind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无</w:t>
      </w:r>
    </w:p>
    <w:p>
      <w:pPr>
        <w:keepNext w:val="0"/>
        <w:keepLines w:val="0"/>
        <w:pageBreakBefore w:val="0"/>
        <w:kinsoku/>
        <w:wordWrap/>
        <w:overflowPunct/>
        <w:topLinePunct w:val="0"/>
        <w:autoSpaceDE/>
        <w:autoSpaceDN/>
        <w:bidi w:val="0"/>
        <w:spacing w:line="240" w:lineRule="auto"/>
        <w:ind w:firstLine="640" w:firstLineChars="200"/>
        <w:textAlignment w:val="auto"/>
        <w:rPr>
          <w:rFonts w:hint="eastAsia" w:ascii="仿宋" w:hAnsi="仿宋" w:eastAsia="仿宋" w:cs="仿宋"/>
          <w:sz w:val="32"/>
          <w:szCs w:val="32"/>
          <w:lang w:eastAsia="zh-CN"/>
        </w:rPr>
      </w:pPr>
      <w:bookmarkStart w:id="39" w:name="_GoBack"/>
      <w:bookmarkEnd w:id="39"/>
    </w:p>
    <w:sectPr>
      <w:footerReference r:id="rId3" w:type="default"/>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65F42854"/>
    <w:multiLevelType w:val="singleLevel"/>
    <w:tmpl w:val="65F42854"/>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8D6A00"/>
    <w:rsid w:val="087E5ED6"/>
    <w:rsid w:val="0F8F23CF"/>
    <w:rsid w:val="10344175"/>
    <w:rsid w:val="10950344"/>
    <w:rsid w:val="14C544DE"/>
    <w:rsid w:val="166C7E19"/>
    <w:rsid w:val="18316FEC"/>
    <w:rsid w:val="184513F9"/>
    <w:rsid w:val="19730045"/>
    <w:rsid w:val="1CD83AD4"/>
    <w:rsid w:val="1E7046E6"/>
    <w:rsid w:val="20F64335"/>
    <w:rsid w:val="28E31734"/>
    <w:rsid w:val="29166261"/>
    <w:rsid w:val="298D64D6"/>
    <w:rsid w:val="2E722C7C"/>
    <w:rsid w:val="2EBC5DD8"/>
    <w:rsid w:val="2F7D571C"/>
    <w:rsid w:val="310F2045"/>
    <w:rsid w:val="3AD62F4A"/>
    <w:rsid w:val="3E606C0D"/>
    <w:rsid w:val="3F625A53"/>
    <w:rsid w:val="3FC64A7F"/>
    <w:rsid w:val="452848BD"/>
    <w:rsid w:val="4A091AF1"/>
    <w:rsid w:val="4C513BE2"/>
    <w:rsid w:val="4DE64FC7"/>
    <w:rsid w:val="500752BA"/>
    <w:rsid w:val="564B6965"/>
    <w:rsid w:val="59795A7B"/>
    <w:rsid w:val="5A392CCC"/>
    <w:rsid w:val="61A31F77"/>
    <w:rsid w:val="61B52FCB"/>
    <w:rsid w:val="6A5C42C4"/>
    <w:rsid w:val="6A7F14C0"/>
    <w:rsid w:val="6CBA76B1"/>
    <w:rsid w:val="6F722BE7"/>
    <w:rsid w:val="753346A0"/>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uiPriority w:val="0"/>
    <w:pPr>
      <w:widowControl/>
      <w:spacing w:before="100" w:beforeAutospacing="1" w:after="100" w:afterAutospacing="1"/>
      <w:jc w:val="left"/>
    </w:pPr>
    <w:rPr>
      <w:rFonts w:ascii="宋体" w:hAnsi="宋体" w:cs="宋体"/>
      <w:kern w:val="0"/>
      <w:sz w:val="24"/>
    </w:rPr>
  </w:style>
  <w:style w:type="paragraph" w:customStyle="1" w:styleId="3">
    <w:name w:val="正文部分 Char Char Char"/>
    <w:basedOn w:val="2"/>
    <w:next w:val="1"/>
    <w:qFormat/>
    <w:uiPriority w:val="0"/>
    <w:pPr>
      <w:adjustRightInd w:val="0"/>
      <w:snapToGrid w:val="0"/>
      <w:spacing w:line="460" w:lineRule="exact"/>
      <w:textAlignment w:val="baseline"/>
    </w:pPr>
    <w:rPr>
      <w:rFonts w:hAnsi="Calibri"/>
      <w:sz w:val="24"/>
    </w:rPr>
  </w:style>
  <w:style w:type="paragraph" w:styleId="4">
    <w:name w:val="footer"/>
    <w:basedOn w:val="1"/>
    <w:link w:val="9"/>
    <w:qFormat/>
    <w:uiPriority w:val="99"/>
    <w:pPr>
      <w:tabs>
        <w:tab w:val="center" w:pos="4153"/>
        <w:tab w:val="right" w:pos="8306"/>
      </w:tabs>
      <w:snapToGrid w:val="0"/>
      <w:jc w:val="left"/>
    </w:pPr>
    <w:rPr>
      <w:sz w:val="18"/>
      <w:szCs w:val="18"/>
    </w:rPr>
  </w:style>
  <w:style w:type="paragraph" w:styleId="5">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er Char"/>
    <w:basedOn w:val="7"/>
    <w:link w:val="5"/>
    <w:qFormat/>
    <w:locked/>
    <w:uiPriority w:val="99"/>
    <w:rPr>
      <w:rFonts w:ascii="Times New Roman" w:hAnsi="Times New Roman" w:eastAsia="仿宋_GB2312" w:cs="Times New Roman"/>
      <w:sz w:val="18"/>
      <w:szCs w:val="18"/>
    </w:rPr>
  </w:style>
  <w:style w:type="character" w:customStyle="1" w:styleId="9">
    <w:name w:val="Footer Char"/>
    <w:basedOn w:val="7"/>
    <w:link w:val="4"/>
    <w:qFormat/>
    <w:locked/>
    <w:uiPriority w:val="99"/>
    <w:rPr>
      <w:rFonts w:ascii="Times New Roman" w:hAnsi="Times New Roman" w:eastAsia="仿宋_GB2312" w:cs="Times New Roman"/>
      <w:sz w:val="18"/>
      <w:szCs w:val="18"/>
    </w:rPr>
  </w:style>
  <w:style w:type="paragraph" w:customStyle="1" w:styleId="10">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11">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2">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3">
    <w:name w:val="WPSOffice手动目录 1"/>
    <w:qFormat/>
    <w:uiPriority w:val="0"/>
    <w:pPr>
      <w:ind w:leftChars="0"/>
    </w:pPr>
    <w:rPr>
      <w:rFonts w:ascii="Calibri" w:hAnsi="Calibri" w:eastAsia="宋体" w:cs="Times New Roman"/>
      <w:sz w:val="20"/>
      <w:szCs w:val="20"/>
    </w:rPr>
  </w:style>
  <w:style w:type="paragraph" w:customStyle="1" w:styleId="14">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21</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LENOVO</cp:lastModifiedBy>
  <dcterms:modified xsi:type="dcterms:W3CDTF">2024-04-22T07:46:53Z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