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商务和投资促进局</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聘用专职律师开展华唐服务外包项目立案法律诉讼经费</w:t>
      </w:r>
      <w:r>
        <w:rPr>
          <w:rFonts w:hint="eastAsia" w:ascii="方正小标宋_GBK" w:hAnsi="宋体" w:eastAsia="方正小标宋_GBK" w:cs="宋体"/>
          <w:bCs/>
          <w:kern w:val="0"/>
          <w:sz w:val="44"/>
          <w:szCs w:val="44"/>
          <w:u w:val="none"/>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3年度</w:t>
      </w:r>
      <w:r>
        <w:rPr>
          <w:rFonts w:hint="eastAsia" w:ascii="仿宋_GB2312" w:eastAsia="仿宋_GB2312"/>
          <w:sz w:val="32"/>
          <w:szCs w:val="32"/>
        </w:rPr>
        <w:t>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聘请专职律师开展华唐服务外包项目立案起诉工作；解决我县与北京华唐中科科技集团有限公司合同纠纷一案；支付法律诉讼服务经费。</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聘请专职律师开展华唐服务外包项目立案起诉工作；解决我县与北京华唐中科科技集团有限公司合同纠纷一案；支付河北宏广律师事务所、河北马建辉律师事务所法律诉讼服务经费。</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w:t>
      </w:r>
      <w:r>
        <w:rPr>
          <w:rFonts w:hint="eastAsia" w:ascii="仿宋_GB2312" w:eastAsia="仿宋_GB2312"/>
          <w:sz w:val="32"/>
          <w:szCs w:val="32"/>
          <w:lang w:val="en-US" w:eastAsia="zh-CN"/>
        </w:rPr>
        <w:t>张丽华</w:t>
      </w:r>
      <w:r>
        <w:rPr>
          <w:rFonts w:hint="eastAsia" w:ascii="仿宋_GB2312" w:eastAsia="仿宋_GB2312"/>
          <w:sz w:val="32"/>
          <w:szCs w:val="32"/>
        </w:rPr>
        <w:t>任组长，由办公室主任</w:t>
      </w:r>
      <w:r>
        <w:rPr>
          <w:rFonts w:hint="eastAsia" w:ascii="仿宋_GB2312" w:eastAsia="仿宋_GB2312"/>
          <w:sz w:val="32"/>
          <w:szCs w:val="32"/>
          <w:lang w:val="en-US" w:eastAsia="zh-CN"/>
        </w:rPr>
        <w:t>丁立超</w:t>
      </w:r>
      <w:r>
        <w:rPr>
          <w:rFonts w:hint="eastAsia" w:ascii="仿宋_GB2312" w:eastAsia="仿宋_GB2312"/>
          <w:sz w:val="32"/>
          <w:szCs w:val="32"/>
        </w:rPr>
        <w:t>、</w:t>
      </w:r>
      <w:r>
        <w:rPr>
          <w:rFonts w:hint="eastAsia" w:ascii="仿宋_GB2312" w:eastAsia="仿宋_GB2312"/>
          <w:sz w:val="32"/>
          <w:szCs w:val="32"/>
          <w:lang w:val="en-US" w:eastAsia="zh-CN"/>
        </w:rPr>
        <w:t>电子商务科</w:t>
      </w:r>
      <w:r>
        <w:rPr>
          <w:rFonts w:hint="eastAsia" w:ascii="仿宋_GB2312" w:eastAsia="仿宋_GB2312"/>
          <w:sz w:val="32"/>
          <w:szCs w:val="32"/>
        </w:rPr>
        <w:t>科长</w:t>
      </w:r>
      <w:r>
        <w:rPr>
          <w:rFonts w:hint="eastAsia" w:ascii="仿宋_GB2312" w:eastAsia="仿宋_GB2312"/>
          <w:sz w:val="32"/>
          <w:szCs w:val="32"/>
          <w:lang w:val="en-US" w:eastAsia="zh-CN"/>
        </w:rPr>
        <w:t>陈晓雪</w:t>
      </w:r>
      <w:r>
        <w:rPr>
          <w:rFonts w:hint="eastAsia" w:ascii="仿宋_GB2312" w:eastAsia="仿宋_GB2312"/>
          <w:sz w:val="32"/>
          <w:szCs w:val="32"/>
        </w:rPr>
        <w:t>共</w:t>
      </w:r>
      <w:r>
        <w:rPr>
          <w:rFonts w:hint="eastAsia" w:ascii="仿宋_GB2312" w:eastAsia="仿宋_GB2312"/>
          <w:sz w:val="32"/>
          <w:szCs w:val="32"/>
          <w:lang w:val="en-US" w:eastAsia="zh-CN"/>
        </w:rPr>
        <w:t>3</w:t>
      </w:r>
      <w:r>
        <w:rPr>
          <w:rFonts w:hint="eastAsia" w:ascii="仿宋_GB2312" w:eastAsia="仿宋_GB2312"/>
          <w:sz w:val="32"/>
          <w:szCs w:val="32"/>
        </w:rPr>
        <w:t>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进一步健全政府绩效管理制度，提高财政资金使用效益，开展预算绩效管理，全面推进预算绩效管理是建设节约政府和服务政府、提高政府行政效能的重要举措，有利于优化公共资源配置，有利于提高公共服务质量，有利于增强预算支出主体责任。</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keepNext w:val="0"/>
        <w:keepLines w:val="0"/>
        <w:pageBreakBefore w:val="0"/>
        <w:widowControl/>
        <w:kinsoku/>
        <w:wordWrap/>
        <w:overflowPunct/>
        <w:topLinePunct w:val="0"/>
        <w:autoSpaceDE/>
        <w:autoSpaceDN/>
        <w:bidi w:val="0"/>
        <w:adjustRightInd/>
        <w:snapToGrid/>
        <w:spacing w:line="480" w:lineRule="auto"/>
        <w:ind w:firstLine="640" w:firstLineChars="200"/>
        <w:jc w:val="left"/>
        <w:textAlignment w:val="auto"/>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按照“先易后难、逐步推开”的原则，建立健全预算绩效管理制度，将所有财政性资金纳入预算绩效管理范围，形成预算绩效管理长效机制。预算绩效管理工作范围覆盖所有财政性资金。重点做好年度预算安排的项目支出及部门整体支出绩效管理；尤其重点做好重大民生项目、重大公益性项目、专业性技术性较强的项目、资金使用效益不明显的项目、数额较大的项目及财政扶持经济社会发展政策资金等六类项目的绩效管理。</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仿宋_GB2312"/>
          <w:sz w:val="32"/>
          <w:szCs w:val="32"/>
          <w:lang w:val="en-US" w:eastAsia="zh-CN"/>
        </w:rPr>
      </w:pPr>
      <w:r>
        <w:rPr>
          <w:rFonts w:hint="eastAsia" w:ascii="仿宋_GB2312" w:eastAsia="仿宋_GB2312"/>
          <w:sz w:val="32"/>
          <w:szCs w:val="32"/>
          <w:lang w:val="en-US" w:eastAsia="zh-CN"/>
        </w:rPr>
        <w:t>聘用专职律师开展华唐服务外包项目立案法律诉讼经费</w:t>
      </w:r>
      <w:r>
        <w:rPr>
          <w:rFonts w:hint="eastAsia" w:ascii="仿宋_GB2312" w:hAnsi="仿宋_GB2312" w:eastAsia="仿宋_GB2312" w:cs="仿宋_GB2312"/>
          <w:sz w:val="32"/>
          <w:szCs w:val="32"/>
          <w:lang w:val="en-US" w:eastAsia="zh-CN"/>
        </w:rPr>
        <w:t>项目</w:t>
      </w:r>
      <w:r>
        <w:rPr>
          <w:rFonts w:hint="eastAsia" w:ascii="仿宋_GB2312" w:eastAsia="仿宋_GB2312"/>
          <w:sz w:val="32"/>
          <w:szCs w:val="32"/>
        </w:rPr>
        <w:t>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聘用专职律师开展华唐服务外包项目立案法律诉讼经费</w:t>
      </w:r>
      <w:r>
        <w:rPr>
          <w:rFonts w:hint="eastAsia" w:ascii="仿宋_GB2312" w:eastAsia="仿宋_GB2312"/>
          <w:sz w:val="32"/>
          <w:szCs w:val="32"/>
        </w:rPr>
        <w:t>，所需资金</w:t>
      </w:r>
      <w:r>
        <w:rPr>
          <w:rFonts w:hint="eastAsia" w:ascii="仿宋_GB2312" w:eastAsia="仿宋_GB2312"/>
          <w:sz w:val="32"/>
          <w:szCs w:val="32"/>
          <w:lang w:val="en-US" w:eastAsia="zh-CN"/>
        </w:rPr>
        <w:t>25</w:t>
      </w:r>
      <w:r>
        <w:rPr>
          <w:rFonts w:hint="eastAsia" w:ascii="仿宋_GB2312" w:eastAsia="仿宋_GB2312"/>
          <w:sz w:val="32"/>
          <w:szCs w:val="32"/>
        </w:rPr>
        <w:t>万元全部为</w:t>
      </w:r>
      <w:r>
        <w:rPr>
          <w:rFonts w:hint="eastAsia" w:ascii="仿宋_GB2312" w:eastAsia="仿宋_GB2312"/>
          <w:sz w:val="32"/>
          <w:szCs w:val="32"/>
          <w:lang w:val="en-US" w:eastAsia="zh-CN"/>
        </w:rPr>
        <w:t>县级财政资金</w:t>
      </w:r>
      <w:r>
        <w:rPr>
          <w:rFonts w:hint="eastAsia" w:ascii="仿宋_GB2312" w:eastAsia="仿宋_GB2312"/>
          <w:sz w:val="32"/>
          <w:szCs w:val="32"/>
        </w:rPr>
        <w:t>，</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经研究决定，聘用专职律师开展华唐服务外包项目立案法律诉讼经费</w:t>
      </w:r>
      <w:r>
        <w:rPr>
          <w:rFonts w:hint="eastAsia" w:ascii="仿宋_GB2312" w:eastAsia="仿宋_GB2312"/>
          <w:sz w:val="32"/>
          <w:szCs w:val="32"/>
        </w:rPr>
        <w:t>项目，所需资金</w:t>
      </w:r>
      <w:r>
        <w:rPr>
          <w:rFonts w:ascii="仿宋_GB2312" w:eastAsia="仿宋_GB2312"/>
          <w:sz w:val="32"/>
          <w:szCs w:val="32"/>
        </w:rPr>
        <w:t>立项依据充分，属于财政事权范围，具有现实紧迫性，相同或相近领域</w:t>
      </w:r>
      <w:r>
        <w:rPr>
          <w:rFonts w:hint="eastAsia" w:ascii="仿宋_GB2312" w:eastAsia="仿宋_GB2312"/>
          <w:sz w:val="32"/>
          <w:szCs w:val="32"/>
        </w:rPr>
        <w:t>无</w:t>
      </w:r>
      <w:r>
        <w:rPr>
          <w:rFonts w:ascii="仿宋_GB2312" w:eastAsia="仿宋_GB2312"/>
          <w:sz w:val="32"/>
          <w:szCs w:val="32"/>
        </w:rPr>
        <w:t>用途相似的预算安排，</w:t>
      </w:r>
      <w:r>
        <w:rPr>
          <w:rFonts w:hint="eastAsia" w:ascii="仿宋_GB2312" w:eastAsia="仿宋_GB2312"/>
          <w:sz w:val="32"/>
          <w:szCs w:val="32"/>
        </w:rPr>
        <w:t>不具有</w:t>
      </w:r>
      <w:r>
        <w:rPr>
          <w:rFonts w:ascii="仿宋_GB2312" w:eastAsia="仿宋_GB2312"/>
          <w:sz w:val="32"/>
          <w:szCs w:val="32"/>
        </w:rPr>
        <w:t>可替代性。</w:t>
      </w:r>
      <w:r>
        <w:rPr>
          <w:rFonts w:hint="eastAsia" w:ascii="仿宋_GB2312" w:eastAsia="仿宋_GB2312"/>
          <w:sz w:val="32"/>
          <w:szCs w:val="32"/>
          <w:lang w:val="en-US" w:eastAsia="zh-CN"/>
        </w:rPr>
        <w:t>2023年度，聘用专职律师开展华唐服务外包项目立案法律诉讼经费</w:t>
      </w:r>
      <w:r>
        <w:rPr>
          <w:rFonts w:hint="eastAsia" w:ascii="仿宋_GB2312" w:eastAsia="仿宋_GB2312"/>
          <w:sz w:val="32"/>
          <w:szCs w:val="32"/>
        </w:rPr>
        <w:t>项目，所需资金</w:t>
      </w:r>
      <w:r>
        <w:rPr>
          <w:rFonts w:hint="eastAsia" w:ascii="仿宋_GB2312" w:hAnsi="仿宋_GB2312" w:eastAsia="仿宋_GB2312" w:cs="仿宋_GB2312"/>
          <w:sz w:val="32"/>
          <w:szCs w:val="32"/>
          <w:lang w:val="en-US" w:eastAsia="zh-CN"/>
        </w:rPr>
        <w:t>25</w:t>
      </w:r>
      <w:r>
        <w:rPr>
          <w:rFonts w:hint="eastAsia" w:ascii="仿宋_GB2312" w:eastAsia="仿宋_GB2312"/>
          <w:sz w:val="32"/>
          <w:szCs w:val="32"/>
          <w:lang w:val="en-US" w:eastAsia="zh-CN"/>
        </w:rPr>
        <w:t>万元，截至2023年12月31日，聘用专职律师开展华唐服务外包项目立案法律诉讼经费已经拨付25万元，资金到位率为100%。在聘用专职律师开展华唐服务外包项目立案法律诉讼经费的使用管理上，严格遵守财经纪律，成立了聘用专职律师开展华唐服务外包项目立案法律诉讼经费使用工作小组，由局长胡旭旺担任组长，三级主任科员张丽华担任副组长，办公室主任丁立超，电子商务科科长陈晓雪为组员的组织机构。严格按照2023年度工作计划，确保资金准确及时到位，坚持专款专用，充分发挥资金效益。按照现行资金管理办法的要求，对项目资金进行严格的审批、支付等各项管理制度，无挤占、截留、挪用、骗取、套取、浪费聘用专职律师开展华唐服务外包项目立案法律诉讼经费的行为。</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hAnsi="Times New Roman" w:eastAsia="仿宋_GB2312" w:cs="Times New Roman"/>
          <w:sz w:val="32"/>
          <w:szCs w:val="32"/>
          <w:lang w:val="en-US" w:eastAsia="zh-CN"/>
        </w:rPr>
      </w:pPr>
      <w:r>
        <w:rPr>
          <w:rFonts w:hint="eastAsia" w:ascii="仿宋_GB2312" w:eastAsia="仿宋_GB2312" w:cs="Times New Roman"/>
          <w:sz w:val="32"/>
          <w:szCs w:val="32"/>
          <w:lang w:val="en-US" w:eastAsia="zh-CN"/>
        </w:rPr>
        <w:t>有效解决了我县与北京华唐中科科技集团有限公司合同纠纷一案，保障唐山志达有限公司的合法权益，支付河北宏广律师事务所、河北马建辉律师事务所法律诉讼服务经费25</w:t>
      </w:r>
      <w:r>
        <w:rPr>
          <w:rFonts w:hint="eastAsia" w:ascii="仿宋_GB2312" w:eastAsia="仿宋_GB2312"/>
          <w:sz w:val="32"/>
          <w:szCs w:val="32"/>
          <w:lang w:val="en-US" w:eastAsia="zh-CN"/>
        </w:rPr>
        <w:t>万元，走访调查企业2家以上，立案审核通过率达90%以上，各项任务完成及时率达100%</w:t>
      </w:r>
      <w:r>
        <w:rPr>
          <w:rFonts w:hint="eastAsia" w:ascii="仿宋_GB2312" w:hAnsi="Times New Roman" w:eastAsia="仿宋_GB2312" w:cs="Times New Roman"/>
          <w:sz w:val="32"/>
          <w:szCs w:val="32"/>
          <w:lang w:val="en-US" w:eastAsia="zh-CN"/>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bookmarkStart w:id="0" w:name="_GoBack"/>
      <w:bookmarkEnd w:id="0"/>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cs="Times New Roman"/>
          <w:sz w:val="32"/>
          <w:szCs w:val="32"/>
          <w:lang w:val="en-US" w:eastAsia="zh-CN"/>
        </w:rPr>
        <w:t>提高效率达到100%</w:t>
      </w:r>
      <w:r>
        <w:rPr>
          <w:rFonts w:hint="eastAsia" w:ascii="仿宋_GB2312" w:eastAsia="仿宋_GB2312"/>
          <w:sz w:val="32"/>
          <w:szCs w:val="32"/>
          <w:lang w:val="en-US" w:eastAsia="zh-CN"/>
        </w:rPr>
        <w:t>，较好解决合同纠纷案件，生态效益增长率为100%，建立健全长效发展机制，</w:t>
      </w:r>
      <w:r>
        <w:rPr>
          <w:rFonts w:hint="eastAsia" w:ascii="仿宋_GB2312" w:eastAsia="仿宋_GB2312" w:cs="Times New Roman"/>
          <w:sz w:val="32"/>
          <w:szCs w:val="32"/>
          <w:lang w:val="en-US" w:eastAsia="zh-CN"/>
        </w:rPr>
        <w:t>资金拨付率为100%，</w:t>
      </w:r>
      <w:r>
        <w:rPr>
          <w:rFonts w:hint="eastAsia" w:ascii="方正仿宋简体" w:hAnsi="Times New Roman" w:eastAsia="方正仿宋简体" w:cs="Times New Roman"/>
          <w:sz w:val="32"/>
          <w:szCs w:val="32"/>
          <w:lang w:val="en-US" w:eastAsia="zh-CN"/>
        </w:rPr>
        <w:t>收到了</w:t>
      </w:r>
      <w:r>
        <w:rPr>
          <w:rFonts w:hint="eastAsia" w:ascii="仿宋_GB2312" w:hAnsi="仿宋_GB2312" w:eastAsia="仿宋_GB2312" w:cs="仿宋_GB2312"/>
          <w:sz w:val="32"/>
          <w:szCs w:val="32"/>
          <w:lang w:val="en-US" w:eastAsia="zh-CN"/>
        </w:rPr>
        <w:t>服务</w:t>
      </w:r>
      <w:r>
        <w:rPr>
          <w:rFonts w:hint="eastAsia" w:ascii="方正仿宋简体" w:hAnsi="Times New Roman" w:eastAsia="方正仿宋简体" w:cs="Times New Roman"/>
          <w:sz w:val="32"/>
          <w:szCs w:val="32"/>
          <w:lang w:val="en-US" w:eastAsia="zh-CN"/>
        </w:rPr>
        <w:t>企业和广大人民群众的一致好评，取得了良好的社会效益</w:t>
      </w:r>
      <w:r>
        <w:rPr>
          <w:rFonts w:hint="eastAsia" w:ascii="方正仿宋简体" w:hAnsi="Times New Roman" w:eastAsia="方正仿宋简体" w:cs="Times New Roman"/>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为做好预算绩效考核的各项工作，我局初步建立了财政预算绩效管理相关制度和工作机制，稳步推进预算绩效管理工作，进一步优化了公共资源配置，提高了公共服务质量，增强了预算支出主体责任。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default" w:ascii="Times New Roman" w:hAnsi="Times New Roman" w:eastAsia="黑体" w:cs="Times New Roman"/>
          <w:sz w:val="32"/>
          <w:szCs w:val="32"/>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今后，我局将继续加强预算绩效监督管理工作，建立确实可行的内部控制制度，为预算绩效管理开展提供相应的指导和监督，及时整改发现的问题，确保预算绩效管理工作顺利进行。</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color="auto" w:fill="FFFFFF"/>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无。</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5433B0A"/>
    <w:rsid w:val="058A7169"/>
    <w:rsid w:val="0B364CF6"/>
    <w:rsid w:val="0BA33D64"/>
    <w:rsid w:val="0CBC7884"/>
    <w:rsid w:val="0FD13331"/>
    <w:rsid w:val="1D0A0FB8"/>
    <w:rsid w:val="1D9A6920"/>
    <w:rsid w:val="1F2D1279"/>
    <w:rsid w:val="257D2979"/>
    <w:rsid w:val="27CF4743"/>
    <w:rsid w:val="29F2743A"/>
    <w:rsid w:val="31A56F48"/>
    <w:rsid w:val="34614ACA"/>
    <w:rsid w:val="3691092C"/>
    <w:rsid w:val="44787793"/>
    <w:rsid w:val="4595474B"/>
    <w:rsid w:val="483E05A8"/>
    <w:rsid w:val="49D67DF9"/>
    <w:rsid w:val="4B525DE9"/>
    <w:rsid w:val="5086304C"/>
    <w:rsid w:val="51163C25"/>
    <w:rsid w:val="51D879E2"/>
    <w:rsid w:val="52A446D9"/>
    <w:rsid w:val="552E231E"/>
    <w:rsid w:val="5A322E92"/>
    <w:rsid w:val="5EBB696B"/>
    <w:rsid w:val="60E72E42"/>
    <w:rsid w:val="63AF0C61"/>
    <w:rsid w:val="645769AB"/>
    <w:rsid w:val="68AD3D21"/>
    <w:rsid w:val="6CE540E0"/>
    <w:rsid w:val="6D3660E9"/>
    <w:rsid w:val="757026C7"/>
    <w:rsid w:val="764243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7</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2024-04-22T06:23:34Z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