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招商经费</w:t>
      </w:r>
      <w:r>
        <w:rPr>
          <w:rFonts w:hint="eastAsia" w:ascii="方正小标宋_GBK" w:hAnsi="宋体" w:eastAsia="方正小标宋_GBK" w:cs="宋体"/>
          <w:bCs/>
          <w:kern w:val="0"/>
          <w:sz w:val="44"/>
          <w:szCs w:val="44"/>
          <w:u w:val="none"/>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大力实施“招商引资突破行动”。按照“四全”招商要求，充分发挥“秘书处”作用，统筹协调、系统推进全县招商引资工作，</w:t>
      </w:r>
      <w:r>
        <w:rPr>
          <w:rFonts w:hint="default" w:ascii="仿宋_GB2312" w:hAnsi="仿宋_GB2312" w:eastAsia="仿宋_GB2312" w:cs="仿宋_GB2312"/>
          <w:kern w:val="2"/>
          <w:sz w:val="32"/>
          <w:szCs w:val="32"/>
          <w:lang w:val="en-US" w:eastAsia="zh-CN" w:bidi="ar-SA"/>
        </w:rPr>
        <w:t>推动形成“1+2+N”招商中心建设体系，设立1个</w:t>
      </w:r>
      <w:r>
        <w:rPr>
          <w:rFonts w:hint="eastAsia" w:ascii="仿宋_GB2312" w:hAnsi="仿宋_GB2312" w:eastAsia="仿宋_GB2312" w:cs="仿宋_GB2312"/>
          <w:kern w:val="2"/>
          <w:sz w:val="32"/>
          <w:szCs w:val="32"/>
          <w:lang w:val="en-US" w:eastAsia="zh-CN" w:bidi="ar-SA"/>
        </w:rPr>
        <w:t>县级</w:t>
      </w:r>
      <w:r>
        <w:rPr>
          <w:rFonts w:hint="default" w:ascii="仿宋_GB2312" w:hAnsi="仿宋_GB2312" w:eastAsia="仿宋_GB2312" w:cs="仿宋_GB2312"/>
          <w:kern w:val="2"/>
          <w:sz w:val="32"/>
          <w:szCs w:val="32"/>
          <w:lang w:val="en-US" w:eastAsia="zh-CN" w:bidi="ar-SA"/>
        </w:rPr>
        <w:t>招商中心办公室</w:t>
      </w:r>
      <w:r>
        <w:rPr>
          <w:rFonts w:hint="eastAsia" w:ascii="仿宋_GB2312" w:hAnsi="仿宋_GB2312" w:eastAsia="仿宋_GB2312" w:cs="仿宋_GB2312"/>
          <w:kern w:val="2"/>
          <w:sz w:val="32"/>
          <w:szCs w:val="32"/>
          <w:lang w:val="en-US" w:eastAsia="zh-CN" w:bidi="ar-SA"/>
        </w:rPr>
        <w:t>，在经开区和农业园区设置2个开发区招商中心办公室，在</w:t>
      </w:r>
      <w:r>
        <w:rPr>
          <w:rFonts w:hint="default" w:ascii="仿宋_GB2312" w:hAnsi="仿宋_GB2312" w:eastAsia="仿宋_GB2312" w:cs="仿宋_GB2312"/>
          <w:kern w:val="2"/>
          <w:sz w:val="32"/>
          <w:szCs w:val="32"/>
          <w:lang w:val="en-US" w:eastAsia="zh-CN" w:bidi="ar-SA"/>
        </w:rPr>
        <w:t>智能印机、管材制造</w:t>
      </w:r>
      <w:r>
        <w:rPr>
          <w:rFonts w:hint="eastAsia" w:ascii="仿宋_GB2312" w:hAnsi="仿宋_GB2312" w:eastAsia="仿宋_GB2312" w:cs="仿宋_GB2312"/>
          <w:kern w:val="2"/>
          <w:sz w:val="32"/>
          <w:szCs w:val="32"/>
          <w:lang w:val="en-US" w:eastAsia="zh-CN" w:bidi="ar-SA"/>
        </w:rPr>
        <w:t>2个行业</w:t>
      </w:r>
      <w:r>
        <w:rPr>
          <w:rFonts w:hint="default" w:ascii="仿宋_GB2312" w:hAnsi="仿宋_GB2312" w:eastAsia="仿宋_GB2312" w:cs="仿宋_GB2312"/>
          <w:kern w:val="2"/>
          <w:sz w:val="32"/>
          <w:szCs w:val="32"/>
          <w:lang w:val="en-US" w:eastAsia="zh-CN" w:bidi="ar-SA"/>
        </w:rPr>
        <w:t>协会</w:t>
      </w:r>
      <w:r>
        <w:rPr>
          <w:rFonts w:hint="eastAsia" w:ascii="仿宋_GB2312" w:hAnsi="仿宋_GB2312" w:eastAsia="仿宋_GB2312" w:cs="仿宋_GB2312"/>
          <w:kern w:val="2"/>
          <w:sz w:val="32"/>
          <w:szCs w:val="32"/>
          <w:lang w:val="en-US" w:eastAsia="zh-CN" w:bidi="ar-SA"/>
        </w:rPr>
        <w:t>和</w:t>
      </w:r>
      <w:r>
        <w:rPr>
          <w:rFonts w:hint="default" w:ascii="仿宋_GB2312" w:hAnsi="仿宋_GB2312" w:eastAsia="仿宋_GB2312" w:cs="仿宋_GB2312"/>
          <w:kern w:val="2"/>
          <w:sz w:val="32"/>
          <w:szCs w:val="32"/>
          <w:lang w:val="en-US" w:eastAsia="zh-CN" w:bidi="ar-SA"/>
        </w:rPr>
        <w:t>海泰、杭萧等</w:t>
      </w:r>
      <w:r>
        <w:rPr>
          <w:rFonts w:hint="eastAsia" w:ascii="仿宋_GB2312" w:hAnsi="仿宋_GB2312" w:eastAsia="仿宋_GB2312" w:cs="仿宋_GB2312"/>
          <w:kern w:val="2"/>
          <w:sz w:val="32"/>
          <w:szCs w:val="32"/>
          <w:lang w:val="en-US" w:eastAsia="zh-CN" w:bidi="ar-SA"/>
        </w:rPr>
        <w:t>县内骨干</w:t>
      </w:r>
      <w:r>
        <w:rPr>
          <w:rFonts w:hint="default" w:ascii="仿宋_GB2312" w:hAnsi="仿宋_GB2312" w:eastAsia="仿宋_GB2312" w:cs="仿宋_GB2312"/>
          <w:kern w:val="2"/>
          <w:sz w:val="32"/>
          <w:szCs w:val="32"/>
          <w:lang w:val="en-US" w:eastAsia="zh-CN" w:bidi="ar-SA"/>
        </w:rPr>
        <w:t>企业</w:t>
      </w:r>
      <w:r>
        <w:rPr>
          <w:rFonts w:hint="eastAsia" w:ascii="仿宋_GB2312" w:hAnsi="仿宋_GB2312" w:eastAsia="仿宋_GB2312" w:cs="仿宋_GB2312"/>
          <w:kern w:val="2"/>
          <w:sz w:val="32"/>
          <w:szCs w:val="32"/>
          <w:lang w:val="en-US" w:eastAsia="zh-CN" w:bidi="ar-SA"/>
        </w:rPr>
        <w:t>设立</w:t>
      </w:r>
      <w:r>
        <w:rPr>
          <w:rFonts w:hint="default" w:ascii="仿宋_GB2312" w:hAnsi="仿宋_GB2312" w:eastAsia="仿宋_GB2312" w:cs="仿宋_GB2312"/>
          <w:kern w:val="2"/>
          <w:sz w:val="32"/>
          <w:szCs w:val="32"/>
          <w:lang w:val="en-US" w:eastAsia="zh-CN" w:bidi="ar-SA"/>
        </w:rPr>
        <w:t>招商中心 1</w:t>
      </w:r>
      <w:r>
        <w:rPr>
          <w:rFonts w:hint="eastAsia" w:ascii="仿宋_GB2312" w:hAnsi="仿宋_GB2312" w:eastAsia="仿宋_GB2312" w:cs="仿宋_GB2312"/>
          <w:kern w:val="2"/>
          <w:sz w:val="32"/>
          <w:szCs w:val="32"/>
          <w:lang w:val="en-US" w:eastAsia="zh-CN" w:bidi="ar-SA"/>
        </w:rPr>
        <w:t>9</w:t>
      </w:r>
      <w:r>
        <w:rPr>
          <w:rFonts w:hint="default" w:ascii="仿宋_GB2312" w:hAnsi="仿宋_GB2312" w:eastAsia="仿宋_GB2312" w:cs="仿宋_GB2312"/>
          <w:kern w:val="2"/>
          <w:sz w:val="32"/>
          <w:szCs w:val="32"/>
          <w:lang w:val="en-US" w:eastAsia="zh-CN" w:bidi="ar-SA"/>
        </w:rPr>
        <w:t>家</w:t>
      </w:r>
      <w:r>
        <w:rPr>
          <w:rFonts w:hint="eastAsia" w:ascii="仿宋_GB2312" w:hAnsi="仿宋_GB2312" w:eastAsia="仿宋_GB2312" w:cs="仿宋_GB2312"/>
          <w:kern w:val="2"/>
          <w:sz w:val="32"/>
          <w:szCs w:val="32"/>
          <w:lang w:val="en-US" w:eastAsia="zh-CN" w:bidi="ar-SA"/>
        </w:rPr>
        <w:t>，认真组织招商引资绩效考核，推动全县招商引资工作高效开展；积极为园区、各乡镇搭建招商对接平台，组织廊洽会、京唐协同发展产业对接会和全国煤炭交易大会等对接活动；2023年全县开展招商活动200余场次，签约亿元以上项目51个，协议总投资额112.2亿元，其中签约引进北京首农味业、兵装集团208所、正荣科技等10亿元以上项目3个。</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积极参加国家、省、市组织的招商推介活动，并自办招商推介活动。进一步丰富招商宣传册和项目册内容，更好的宣传和推介我县的投资环境。在做好招商网日常维护和更新的同时，加强网上项目推介，动态更新项目库，提高我县招商项目的时效性和可靠性，及时接收和反馈项目信息并做好联系洽谈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投资促进科</w:t>
      </w:r>
      <w:r>
        <w:rPr>
          <w:rFonts w:hint="eastAsia" w:ascii="仿宋_GB2312" w:eastAsia="仿宋_GB2312"/>
          <w:sz w:val="32"/>
          <w:szCs w:val="32"/>
        </w:rPr>
        <w:t>科科长</w:t>
      </w:r>
      <w:r>
        <w:rPr>
          <w:rFonts w:hint="eastAsia" w:ascii="仿宋_GB2312" w:eastAsia="仿宋_GB2312"/>
          <w:sz w:val="32"/>
          <w:szCs w:val="32"/>
          <w:lang w:val="en-US" w:eastAsia="zh-CN"/>
        </w:rPr>
        <w:t>尹培</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招商经费</w:t>
      </w:r>
      <w:r>
        <w:rPr>
          <w:rFonts w:hint="eastAsia" w:ascii="仿宋_GB2312" w:eastAsia="仿宋_GB2312"/>
          <w:sz w:val="32"/>
          <w:szCs w:val="32"/>
        </w:rPr>
        <w:t>项目立项依据充分,目标合理，方案可行，资金测算科学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招商经费</w:t>
      </w:r>
      <w:r>
        <w:rPr>
          <w:rFonts w:hint="eastAsia" w:ascii="仿宋_GB2312" w:eastAsia="仿宋_GB2312"/>
          <w:sz w:val="32"/>
          <w:szCs w:val="32"/>
        </w:rPr>
        <w:t>项目，所需资金</w:t>
      </w:r>
      <w:r>
        <w:rPr>
          <w:rFonts w:hint="eastAsia" w:ascii="仿宋_GB2312" w:eastAsia="仿宋_GB2312"/>
          <w:sz w:val="32"/>
          <w:szCs w:val="32"/>
          <w:lang w:val="en-US" w:eastAsia="zh-CN"/>
        </w:rPr>
        <w:t>32</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经研究决定，招商经费</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2023年度，招商经费32万元，截至2023年12月31日，招商经费</w:t>
      </w:r>
      <w:r>
        <w:rPr>
          <w:rFonts w:hint="eastAsia" w:ascii="仿宋_GB2312" w:eastAsia="仿宋_GB2312"/>
          <w:sz w:val="32"/>
          <w:szCs w:val="32"/>
        </w:rPr>
        <w:t>项目</w:t>
      </w:r>
      <w:r>
        <w:rPr>
          <w:rFonts w:hint="eastAsia" w:ascii="仿宋_GB2312" w:eastAsia="仿宋_GB2312"/>
          <w:sz w:val="32"/>
          <w:szCs w:val="32"/>
          <w:lang w:val="en-US" w:eastAsia="zh-CN"/>
        </w:rPr>
        <w:t>已经拨付32万元，资金到位率为100%。在招商经费资金的使用管理上，严格遵守财经纪律，成立了招商经费</w:t>
      </w:r>
      <w:r>
        <w:rPr>
          <w:rFonts w:hint="eastAsia" w:ascii="仿宋_GB2312" w:eastAsia="仿宋_GB2312"/>
          <w:sz w:val="32"/>
          <w:szCs w:val="32"/>
        </w:rPr>
        <w:t>项目</w:t>
      </w:r>
      <w:r>
        <w:rPr>
          <w:rFonts w:hint="eastAsia" w:ascii="仿宋_GB2312" w:eastAsia="仿宋_GB2312"/>
          <w:sz w:val="32"/>
          <w:szCs w:val="32"/>
          <w:lang w:val="en-US" w:eastAsia="zh-CN"/>
        </w:rPr>
        <w:t>资金使用工作小组，由局长胡旭旺担任组长，三级主任科员张丽华担任副组长，办公室主任丁立超，投资促进科科长尹培为组员的组织机构。严格按照2023年度工作计划，确保资金准确及时到位，坚持专款专用，充分发挥资金效益。按照现行资金管理办法的要求，对项目资金进行严格的审批、支付等各项管理制度，无挤占、截留、挪用、骗取、套取、浪费招商经费</w:t>
      </w:r>
      <w:r>
        <w:rPr>
          <w:rFonts w:hint="eastAsia" w:ascii="仿宋_GB2312" w:eastAsia="仿宋_GB2312"/>
          <w:sz w:val="32"/>
          <w:szCs w:val="32"/>
        </w:rPr>
        <w:t>项目</w:t>
      </w:r>
      <w:r>
        <w:rPr>
          <w:rFonts w:hint="eastAsia" w:ascii="仿宋_GB2312" w:eastAsia="仿宋_GB2312"/>
          <w:sz w:val="32"/>
          <w:szCs w:val="32"/>
          <w:lang w:val="en-US" w:eastAsia="zh-CN"/>
        </w:rPr>
        <w:t>专项资金的行为。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default"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开展产业优势产业项目宣传推介活动数量5次，促成合作意向数10个，任务完成及时率为100%，资金成本低于32万元。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Times New Roman" w:eastAsia="仿宋_GB2312" w:cs="Times New Roman"/>
          <w:sz w:val="32"/>
          <w:szCs w:val="32"/>
          <w:lang w:val="en-US" w:eastAsia="zh-CN"/>
        </w:rPr>
        <w:t>税收增长率</w:t>
      </w:r>
      <w:r>
        <w:rPr>
          <w:rFonts w:hint="eastAsia" w:ascii="仿宋_GB2312" w:eastAsia="仿宋_GB2312" w:cs="Times New Roman"/>
          <w:sz w:val="32"/>
          <w:szCs w:val="32"/>
          <w:lang w:val="en-US" w:eastAsia="zh-CN"/>
        </w:rPr>
        <w:t>为80%，全方位、多渠道开展招商引资活动，有效宣传我县投资环境，生态效益增长率达到100%，加大招商引资工作力度，有效促进我县产业升级，</w:t>
      </w:r>
      <w:r>
        <w:rPr>
          <w:rFonts w:hint="eastAsia" w:ascii="方正仿宋简体" w:hAnsi="Times New Roman" w:eastAsia="方正仿宋简体" w:cs="Times New Roman"/>
          <w:sz w:val="32"/>
          <w:szCs w:val="32"/>
          <w:lang w:val="en-US" w:eastAsia="zh-CN"/>
        </w:rPr>
        <w:t>收到了企业和广大人民群众的一致好评，取得了良好的社会效益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BA538E"/>
    <w:rsid w:val="05CF5C70"/>
    <w:rsid w:val="0CBC7884"/>
    <w:rsid w:val="0FD13331"/>
    <w:rsid w:val="1D0A0FB8"/>
    <w:rsid w:val="29F2743A"/>
    <w:rsid w:val="395D3275"/>
    <w:rsid w:val="44787793"/>
    <w:rsid w:val="4595474B"/>
    <w:rsid w:val="49D67DF9"/>
    <w:rsid w:val="51163C25"/>
    <w:rsid w:val="51933A5F"/>
    <w:rsid w:val="51D879E2"/>
    <w:rsid w:val="52A446D9"/>
    <w:rsid w:val="5A322E92"/>
    <w:rsid w:val="5C2A0FCD"/>
    <w:rsid w:val="5EBB696B"/>
    <w:rsid w:val="630D62F5"/>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Calibri" w:hAnsi="Calibri" w:eastAsia="宋体" w:cs="Times New Roman"/>
    </w:rPr>
  </w:style>
  <w:style w:type="paragraph" w:styleId="3">
    <w:name w:val="Body Text Indent"/>
    <w:basedOn w:val="1"/>
    <w:next w:val="4"/>
    <w:qFormat/>
    <w:uiPriority w:val="0"/>
    <w:pPr>
      <w:spacing w:after="120"/>
      <w:ind w:left="420" w:leftChars="200"/>
    </w:pPr>
    <w:rPr>
      <w:rFonts w:ascii="Times New Roman" w:hAnsi="Times New Roman" w:eastAsia="宋体" w:cs="Times New Roman"/>
    </w:r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5">
    <w:name w:val="Normal Indent"/>
    <w:basedOn w:val="1"/>
    <w:qFormat/>
    <w:uiPriority w:val="0"/>
    <w:pPr>
      <w:adjustRightInd w:val="0"/>
      <w:ind w:firstLine="420"/>
      <w:textAlignment w:val="baseline"/>
    </w:pPr>
    <w:rPr>
      <w:rFonts w:ascii="Times New Roman" w:hAnsi="Times New Roman" w:eastAsia="宋体" w:cs="Times New Roman"/>
      <w:szCs w:val="20"/>
    </w:rPr>
  </w:style>
  <w:style w:type="paragraph" w:styleId="6">
    <w:name w:val="Plain Text"/>
    <w:basedOn w:val="1"/>
    <w:next w:val="1"/>
    <w:qFormat/>
    <w:uiPriority w:val="0"/>
    <w:rPr>
      <w:rFonts w:ascii="宋体" w:hAnsi="Courier New" w:eastAsia="宋体" w:cs="Courier New"/>
      <w:szCs w:val="21"/>
    </w:rPr>
  </w:style>
  <w:style w:type="paragraph" w:styleId="7">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1">
    <w:name w:val="页眉 Char"/>
    <w:basedOn w:val="10"/>
    <w:link w:val="8"/>
    <w:qFormat/>
    <w:uiPriority w:val="99"/>
    <w:rPr>
      <w:sz w:val="18"/>
      <w:szCs w:val="18"/>
    </w:rPr>
  </w:style>
  <w:style w:type="character" w:customStyle="1" w:styleId="12">
    <w:name w:val="页脚 Char"/>
    <w:basedOn w:val="10"/>
    <w:link w:val="7"/>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2024-04-22T07:24:02Z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