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lang w:val="en-US" w:eastAsia="zh-CN"/>
        </w:rPr>
      </w:pPr>
      <w:bookmarkStart w:id="0" w:name="_GoBack"/>
      <w:r>
        <w:rPr>
          <w:rFonts w:hint="eastAsia" w:ascii="方正小标宋_GBK" w:hAnsi="宋体" w:eastAsia="方正小标宋_GBK" w:cs="宋体"/>
          <w:bCs/>
          <w:kern w:val="0"/>
          <w:sz w:val="44"/>
          <w:szCs w:val="44"/>
          <w:u w:val="none"/>
          <w:lang w:val="en-US" w:eastAsia="zh-CN"/>
        </w:rPr>
        <w:t>2022年省商贸流通发展专项资金</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（外资外贸和商贸流通企业数据直报）</w:t>
      </w:r>
      <w:bookmarkEnd w:id="0"/>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有效调动企业数据直报的积极性；提高企业发展数据质量、时效；发放2022年省商贸流通发展专项资金（外资外贸和商贸流通企业数据直报）</w:t>
      </w:r>
      <w:r>
        <w:rPr>
          <w:rFonts w:hint="eastAsia" w:ascii="仿宋_GB2312" w:hAnsi="仿宋_GB2312" w:eastAsia="仿宋_GB2312" w:cs="仿宋_GB2312"/>
          <w:sz w:val="32"/>
          <w:szCs w:val="32"/>
          <w:lang w:val="en-US" w:eastAsia="zh-CN"/>
        </w:rPr>
        <w:t>11万元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有效调动企业数据直报的积极性；提高企业发展数据质量、时效；</w:t>
      </w:r>
      <w:r>
        <w:rPr>
          <w:rFonts w:hint="eastAsia" w:ascii="仿宋_GB2312" w:hAnsi="仿宋_GB2312" w:eastAsia="仿宋_GB2312" w:cs="仿宋_GB2312"/>
          <w:sz w:val="32"/>
          <w:szCs w:val="32"/>
          <w:lang w:val="en-US" w:eastAsia="zh-CN"/>
        </w:rPr>
        <w:t>真实反应行业发展动态；为各项决策提供真实数据保障。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对外贸易科</w:t>
      </w:r>
      <w:r>
        <w:rPr>
          <w:rFonts w:hint="eastAsia" w:ascii="仿宋_GB2312" w:eastAsia="仿宋_GB2312"/>
          <w:sz w:val="32"/>
          <w:szCs w:val="32"/>
        </w:rPr>
        <w:t>科科长</w:t>
      </w:r>
      <w:r>
        <w:rPr>
          <w:rFonts w:hint="eastAsia" w:ascii="仿宋_GB2312" w:eastAsia="仿宋_GB2312"/>
          <w:sz w:val="32"/>
          <w:szCs w:val="32"/>
          <w:lang w:val="en-US" w:eastAsia="zh-CN"/>
        </w:rPr>
        <w:t>王洪娥、内贸科科长齐香玲</w:t>
      </w:r>
      <w:r>
        <w:rPr>
          <w:rFonts w:hint="eastAsia" w:ascii="仿宋_GB2312" w:eastAsia="仿宋_GB2312"/>
          <w:sz w:val="32"/>
          <w:szCs w:val="32"/>
        </w:rPr>
        <w:t>共</w:t>
      </w:r>
      <w:r>
        <w:rPr>
          <w:rFonts w:hint="eastAsia" w:ascii="仿宋_GB2312" w:eastAsia="仿宋_GB2312"/>
          <w:sz w:val="32"/>
          <w:szCs w:val="32"/>
          <w:lang w:val="en-US" w:eastAsia="zh-CN"/>
        </w:rPr>
        <w:t>4</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eastAsia="仿宋_GB2312"/>
          <w:sz w:val="32"/>
          <w:szCs w:val="32"/>
        </w:rPr>
        <w:t>项目，所需资金</w:t>
      </w:r>
      <w:r>
        <w:rPr>
          <w:rFonts w:hint="eastAsia" w:ascii="仿宋_GB2312" w:eastAsia="仿宋_GB2312"/>
          <w:sz w:val="32"/>
          <w:szCs w:val="32"/>
          <w:lang w:val="en-US" w:eastAsia="zh-CN"/>
        </w:rPr>
        <w:t>11</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w:t>
      </w: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w:t>
      </w: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eastAsia="仿宋_GB2312"/>
          <w:sz w:val="32"/>
          <w:szCs w:val="32"/>
          <w:lang w:val="en-US" w:eastAsia="zh-CN"/>
        </w:rPr>
        <w:t>11万元，截至2023年12月31日，</w:t>
      </w: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eastAsia="仿宋_GB2312"/>
          <w:sz w:val="32"/>
          <w:szCs w:val="32"/>
          <w:lang w:val="en-US" w:eastAsia="zh-CN"/>
        </w:rPr>
        <w:t>已经拨付11万元，资金到位率为100%。在</w:t>
      </w: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eastAsia="仿宋_GB2312"/>
          <w:sz w:val="32"/>
          <w:szCs w:val="32"/>
          <w:lang w:val="en-US" w:eastAsia="zh-CN"/>
        </w:rPr>
        <w:t>的使用管理上，严格遵守财经纪律，成立了</w:t>
      </w: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eastAsia="仿宋_GB2312"/>
          <w:sz w:val="32"/>
          <w:szCs w:val="32"/>
          <w:lang w:val="en-US" w:eastAsia="zh-CN"/>
        </w:rPr>
        <w:t>使用工作小组，由局长胡旭旺担任组长，三级主任科员张丽华担任副组长，办公室主任丁立超，对外贸易科科长王洪娥、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w:t>
      </w:r>
      <w:r>
        <w:rPr>
          <w:rFonts w:hint="eastAsia" w:ascii="仿宋_GB2312" w:hAnsi="仿宋_GB2312" w:eastAsia="仿宋_GB2312" w:cs="仿宋_GB2312"/>
          <w:sz w:val="32"/>
          <w:szCs w:val="32"/>
          <w:lang w:eastAsia="zh-CN"/>
        </w:rPr>
        <w:t>2022年省商贸流通发展专项资金（外资外贸和商贸流通企业数据直报）</w:t>
      </w:r>
      <w:r>
        <w:rPr>
          <w:rFonts w:hint="eastAsia" w:ascii="仿宋_GB2312" w:eastAsia="仿宋_GB2312"/>
          <w:sz w:val="32"/>
          <w:szCs w:val="32"/>
          <w:lang w:val="en-US" w:eastAsia="zh-CN"/>
        </w:rPr>
        <w:t>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有效调动了我县</w:t>
      </w:r>
      <w:r>
        <w:rPr>
          <w:rFonts w:hint="eastAsia" w:ascii="仿宋_GB2312" w:hAnsi="仿宋_GB2312" w:eastAsia="仿宋_GB2312" w:cs="仿宋_GB2312"/>
          <w:sz w:val="32"/>
          <w:szCs w:val="32"/>
          <w:lang w:eastAsia="zh-CN"/>
        </w:rPr>
        <w:t>外资外贸和商贸流通企业数据直报</w:t>
      </w:r>
      <w:r>
        <w:rPr>
          <w:rFonts w:hint="eastAsia" w:ascii="仿宋_GB2312" w:hAnsi="仿宋_GB2312" w:eastAsia="仿宋_GB2312" w:cs="仿宋_GB2312"/>
          <w:sz w:val="32"/>
          <w:szCs w:val="32"/>
          <w:lang w:val="en-US" w:eastAsia="zh-CN"/>
        </w:rPr>
        <w:t>的积极性</w:t>
      </w:r>
      <w:r>
        <w:rPr>
          <w:rFonts w:hint="eastAsia" w:ascii="仿宋_GB2312" w:eastAsia="仿宋_GB2312" w:cs="Times New Roman"/>
          <w:sz w:val="32"/>
          <w:szCs w:val="32"/>
          <w:lang w:val="en-US" w:eastAsia="zh-CN"/>
        </w:rPr>
        <w:t>，对福满家集团玉田县凤凰超市有限公司等县内企业拨付2</w:t>
      </w:r>
      <w:r>
        <w:rPr>
          <w:rFonts w:hint="eastAsia" w:ascii="仿宋_GB2312" w:hAnsi="仿宋_GB2312" w:eastAsia="仿宋_GB2312" w:cs="仿宋_GB2312"/>
          <w:sz w:val="32"/>
          <w:szCs w:val="32"/>
          <w:lang w:eastAsia="zh-CN"/>
        </w:rPr>
        <w:t>022年省商贸流通发展专项资金（外资外贸和商贸流通企业数据直报）</w:t>
      </w:r>
      <w:r>
        <w:rPr>
          <w:rFonts w:hint="eastAsia" w:ascii="仿宋_GB2312" w:eastAsia="仿宋_GB2312"/>
          <w:sz w:val="32"/>
          <w:szCs w:val="32"/>
          <w:lang w:val="en-US" w:eastAsia="zh-CN"/>
        </w:rPr>
        <w:t>共计11万元，奖补企业合计54家，企业网报率达到80%以上，确保数据的真实性和及时性，如实反应行业发展状态</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数据及时完整率及监测合格率均达到80%</w:t>
      </w:r>
      <w:r>
        <w:rPr>
          <w:rFonts w:hint="eastAsia" w:ascii="仿宋_GB2312" w:eastAsia="仿宋_GB2312"/>
          <w:sz w:val="32"/>
          <w:szCs w:val="32"/>
          <w:lang w:val="en-US" w:eastAsia="zh-CN"/>
        </w:rPr>
        <w:t>以上，</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eastAsia="zh-CN"/>
        </w:rPr>
        <w:t>外资外贸和商贸流通</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A33D64"/>
    <w:rsid w:val="0CBC7884"/>
    <w:rsid w:val="0FD13331"/>
    <w:rsid w:val="1D0A0FB8"/>
    <w:rsid w:val="1D9A6920"/>
    <w:rsid w:val="29F2743A"/>
    <w:rsid w:val="34614ACA"/>
    <w:rsid w:val="44787793"/>
    <w:rsid w:val="4595474B"/>
    <w:rsid w:val="49D67DF9"/>
    <w:rsid w:val="51163C25"/>
    <w:rsid w:val="51D879E2"/>
    <w:rsid w:val="52A446D9"/>
    <w:rsid w:val="5A322E92"/>
    <w:rsid w:val="5EBB696B"/>
    <w:rsid w:val="63AF0C61"/>
    <w:rsid w:val="645769AB"/>
    <w:rsid w:val="68AD3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2024-04-22T01:40:14Z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