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u w:val="none"/>
          <w:lang w:val="en-US" w:eastAsia="zh-CN"/>
        </w:rPr>
      </w:pPr>
      <w:r>
        <w:rPr>
          <w:rFonts w:hint="eastAsia" w:ascii="方正小标宋_GBK" w:hAnsi="宋体" w:eastAsia="方正小标宋_GBK" w:cs="宋体"/>
          <w:bCs/>
          <w:kern w:val="0"/>
          <w:sz w:val="44"/>
          <w:szCs w:val="44"/>
          <w:u w:val="none"/>
          <w:lang w:eastAsia="zh-CN"/>
        </w:rPr>
        <w:t>玉田县</w:t>
      </w:r>
      <w:r>
        <w:rPr>
          <w:rFonts w:hint="eastAsia" w:ascii="方正小标宋_GBK" w:hAnsi="宋体" w:eastAsia="方正小标宋_GBK" w:cs="宋体"/>
          <w:bCs/>
          <w:kern w:val="0"/>
          <w:sz w:val="44"/>
          <w:szCs w:val="44"/>
          <w:u w:val="none"/>
          <w:lang w:val="en-US" w:eastAsia="zh-CN"/>
        </w:rPr>
        <w:t>商务和投资促进局</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lang w:val="en-US" w:eastAsia="zh-CN"/>
        </w:rPr>
        <w:t>新增限上贸易企业奖励资金</w:t>
      </w:r>
      <w:r>
        <w:rPr>
          <w:rFonts w:hint="eastAsia" w:ascii="方正小标宋_GBK" w:hAnsi="宋体" w:eastAsia="方正小标宋_GBK" w:cs="宋体"/>
          <w:bCs/>
          <w:kern w:val="0"/>
          <w:sz w:val="44"/>
          <w:szCs w:val="44"/>
          <w:u w:val="none"/>
        </w:rPr>
        <w:t>项目</w:t>
      </w:r>
    </w:p>
    <w:p>
      <w:pPr>
        <w:widowControl/>
        <w:spacing w:line="600" w:lineRule="exact"/>
        <w:jc w:val="center"/>
        <w:rPr>
          <w:rFonts w:hint="eastAsia" w:ascii="方正小标宋_GBK" w:hAnsi="宋体" w:eastAsia="方正小标宋_GBK" w:cs="宋体"/>
          <w:bCs/>
          <w:kern w:val="0"/>
          <w:sz w:val="44"/>
          <w:szCs w:val="44"/>
          <w:u w:val="none"/>
        </w:rPr>
      </w:pPr>
      <w:r>
        <w:rPr>
          <w:rFonts w:hint="eastAsia" w:ascii="方正小标宋_GBK" w:hAnsi="宋体" w:eastAsia="方正小标宋_GBK" w:cs="宋体"/>
          <w:bCs/>
          <w:kern w:val="0"/>
          <w:sz w:val="44"/>
          <w:szCs w:val="44"/>
          <w:u w:val="none"/>
        </w:rPr>
        <w:t>支出绩效评价报告</w:t>
      </w:r>
    </w:p>
    <w:p>
      <w:pPr>
        <w:widowControl/>
        <w:spacing w:line="600" w:lineRule="exact"/>
        <w:jc w:val="center"/>
        <w:rPr>
          <w:rFonts w:hint="eastAsia" w:ascii="方正小标宋_GBK" w:hAnsi="宋体" w:eastAsia="方正小标宋_GBK" w:cs="宋体"/>
          <w:bCs/>
          <w:kern w:val="0"/>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3年度</w:t>
      </w:r>
      <w:r>
        <w:rPr>
          <w:rFonts w:hint="eastAsia" w:ascii="仿宋_GB2312" w:eastAsia="仿宋_GB2312"/>
          <w:sz w:val="32"/>
          <w:szCs w:val="32"/>
        </w:rPr>
        <w:t>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（一）项目概况。</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 w:hAnsi="仿宋" w:eastAsia="仿宋"/>
          <w:bCs/>
          <w:sz w:val="32"/>
          <w:szCs w:val="32"/>
          <w:lang w:val="en-US" w:eastAsia="zh-CN"/>
        </w:rPr>
        <w:t>为进一步激发我县商贸企业发展活力，带动全县经济提速增质，按照相关文件规定，经与县统计局联网直报平台数据确认、县税务局企业纳税情况核实，</w:t>
      </w:r>
      <w:r>
        <w:rPr>
          <w:rFonts w:hint="eastAsia" w:ascii="仿宋_GB2312" w:hAnsi="仿宋_GB2312" w:eastAsia="仿宋_GB2312" w:cs="仿宋_GB2312"/>
          <w:sz w:val="32"/>
          <w:szCs w:val="32"/>
          <w:lang w:eastAsia="zh-CN"/>
        </w:rPr>
        <w:t>拨付新增限上贸易企业奖励资金</w:t>
      </w:r>
      <w:r>
        <w:rPr>
          <w:rFonts w:hint="eastAsia" w:ascii="仿宋_GB2312" w:hAnsi="仿宋_GB2312" w:eastAsia="仿宋_GB2312" w:cs="仿宋_GB2312"/>
          <w:sz w:val="32"/>
          <w:szCs w:val="32"/>
          <w:lang w:val="en-US" w:eastAsia="zh-CN"/>
        </w:rPr>
        <w:t>130万元</w:t>
      </w:r>
      <w:r>
        <w:rPr>
          <w:rFonts w:hint="eastAsia" w:ascii="仿宋_GB2312" w:hAnsi="仿宋_GB2312" w:eastAsia="仿宋_GB2312" w:cs="仿宋_GB2312"/>
          <w:sz w:val="32"/>
          <w:szCs w:val="32"/>
          <w:lang w:eastAsia="zh-CN"/>
        </w:rPr>
        <w:t>。</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w:t>
      </w:r>
    </w:p>
    <w:p>
      <w:pPr>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进一步激发我县商贸企业发展活力；带动全县经济增速提质；拨付</w:t>
      </w:r>
      <w:r>
        <w:rPr>
          <w:rFonts w:hint="eastAsia" w:ascii="仿宋_GB2312" w:hAnsi="仿宋_GB2312" w:eastAsia="仿宋_GB2312" w:cs="仿宋_GB2312"/>
          <w:sz w:val="32"/>
          <w:szCs w:val="32"/>
          <w:lang w:val="en-US" w:eastAsia="zh-CN"/>
        </w:rPr>
        <w:t>新增</w:t>
      </w:r>
      <w:r>
        <w:rPr>
          <w:rFonts w:hint="eastAsia" w:ascii="仿宋_GB2312" w:hAnsi="仿宋_GB2312" w:eastAsia="仿宋_GB2312" w:cs="仿宋_GB2312"/>
          <w:sz w:val="32"/>
          <w:szCs w:val="32"/>
          <w:lang w:eastAsia="zh-CN"/>
        </w:rPr>
        <w:t>限上贸易企业奖励资金。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w:t>
      </w:r>
      <w:r>
        <w:rPr>
          <w:rFonts w:hint="eastAsia" w:ascii="仿宋_GB2312" w:eastAsia="仿宋_GB2312"/>
          <w:sz w:val="32"/>
          <w:szCs w:val="32"/>
          <w:lang w:val="en-US" w:eastAsia="zh-CN"/>
        </w:rPr>
        <w:t>张丽华</w:t>
      </w:r>
      <w:r>
        <w:rPr>
          <w:rFonts w:hint="eastAsia" w:ascii="仿宋_GB2312" w:eastAsia="仿宋_GB2312"/>
          <w:sz w:val="32"/>
          <w:szCs w:val="32"/>
        </w:rPr>
        <w:t>任组长，由办公室主任</w:t>
      </w:r>
      <w:r>
        <w:rPr>
          <w:rFonts w:hint="eastAsia" w:ascii="仿宋_GB2312" w:eastAsia="仿宋_GB2312"/>
          <w:sz w:val="32"/>
          <w:szCs w:val="32"/>
          <w:lang w:val="en-US" w:eastAsia="zh-CN"/>
        </w:rPr>
        <w:t>丁立超</w:t>
      </w:r>
      <w:r>
        <w:rPr>
          <w:rFonts w:hint="eastAsia" w:ascii="仿宋_GB2312" w:eastAsia="仿宋_GB2312"/>
          <w:sz w:val="32"/>
          <w:szCs w:val="32"/>
        </w:rPr>
        <w:t>、</w:t>
      </w:r>
      <w:r>
        <w:rPr>
          <w:rFonts w:hint="eastAsia" w:ascii="仿宋_GB2312" w:eastAsia="仿宋_GB2312"/>
          <w:sz w:val="32"/>
          <w:szCs w:val="32"/>
          <w:lang w:val="en-US" w:eastAsia="zh-CN"/>
        </w:rPr>
        <w:t>内贸科科长齐香玲</w:t>
      </w:r>
      <w:r>
        <w:rPr>
          <w:rFonts w:hint="eastAsia" w:ascii="仿宋_GB2312" w:eastAsia="仿宋_GB2312"/>
          <w:sz w:val="32"/>
          <w:szCs w:val="32"/>
        </w:rPr>
        <w:t>共</w:t>
      </w:r>
      <w:r>
        <w:rPr>
          <w:rFonts w:hint="eastAsia" w:ascii="仿宋_GB2312" w:eastAsia="仿宋_GB2312"/>
          <w:sz w:val="32"/>
          <w:szCs w:val="32"/>
          <w:lang w:val="en-US" w:eastAsia="zh-CN"/>
        </w:rPr>
        <w:t>3</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进一步健全政府绩效管理制度，提高财政资金使用效益，开展预算绩效管理，全面推进预算绩效管理是建设节约政府和服务政府、提高政府行政效能的重要举措，有利于优化公共资源配置，有利于提高公共服务质量，有利于增强预算支出主体责任。</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（三）绩效评价原则、评价指标体系、评价方法、评价标准等。</w:t>
      </w:r>
    </w:p>
    <w:p>
      <w:pPr>
        <w:keepNext w:val="0"/>
        <w:keepLines w:val="0"/>
        <w:pageBreakBefore w:val="0"/>
        <w:widowControl/>
        <w:kinsoku/>
        <w:wordWrap/>
        <w:overflowPunct/>
        <w:topLinePunct w:val="0"/>
        <w:autoSpaceDE/>
        <w:autoSpaceDN/>
        <w:bidi w:val="0"/>
        <w:adjustRightInd/>
        <w:snapToGrid/>
        <w:spacing w:line="480" w:lineRule="auto"/>
        <w:ind w:firstLine="640" w:firstLineChars="200"/>
        <w:jc w:val="left"/>
        <w:textAlignment w:val="auto"/>
        <w:rPr>
          <w:rFonts w:hint="eastAsia" w:ascii="仿宋_GB2312" w:eastAsia="仿宋_GB2312"/>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按照“先易后难、逐步推开”的原则，建立健全预算绩效管理制度，将所有财政性资金纳入预算绩效管理范围，形成预算绩效管理长效机制。预算绩效管理工作范围覆盖所有财政性资金。重点做好年度预算安排的项目支出及部门整体支出绩效管理；尤其重点做好重大民生项目、重大公益性项目、专业性技术性较强的项目、资金使用效益不明显的项目、数额较大的项目及财政扶持经济社会发展政策资金等六类项目的绩效管理。</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ascii="仿宋_GB2312" w:eastAsia="仿宋_GB2312"/>
          <w:sz w:val="32"/>
          <w:szCs w:val="32"/>
          <w:lang w:val="en-US" w:eastAsia="zh-CN"/>
        </w:rPr>
        <w:t>新增限上贸易企业奖励资金</w:t>
      </w:r>
      <w:r>
        <w:rPr>
          <w:rFonts w:hint="eastAsia" w:ascii="仿宋_GB2312" w:hAnsi="仿宋_GB2312" w:eastAsia="仿宋_GB2312" w:cs="仿宋_GB2312"/>
          <w:sz w:val="32"/>
          <w:szCs w:val="32"/>
          <w:lang w:val="en-US" w:eastAsia="zh-CN"/>
        </w:rPr>
        <w:t>项目</w:t>
      </w:r>
      <w:r>
        <w:rPr>
          <w:rFonts w:hint="eastAsia" w:ascii="仿宋_GB2312" w:eastAsia="仿宋_GB2312"/>
          <w:sz w:val="32"/>
          <w:szCs w:val="32"/>
        </w:rPr>
        <w:t>立项依据充分,目标合理，方案可行，资金测算科学</w:t>
      </w:r>
      <w:r>
        <w:rPr>
          <w:rFonts w:hint="eastAsia" w:ascii="仿宋_GB2312" w:eastAsia="仿宋_GB2312"/>
          <w:sz w:val="32"/>
          <w:szCs w:val="32"/>
          <w:lang w:eastAsia="zh-CN"/>
        </w:rPr>
        <w:t>，</w:t>
      </w:r>
      <w:r>
        <w:rPr>
          <w:rFonts w:hint="eastAsia" w:ascii="仿宋_GB2312" w:eastAsia="仿宋_GB2312"/>
          <w:sz w:val="32"/>
          <w:szCs w:val="32"/>
          <w:lang w:val="en-US" w:eastAsia="zh-CN"/>
        </w:rPr>
        <w:t>支出符合财政各项规定。</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lang w:val="en-US" w:eastAsia="zh-CN"/>
        </w:rPr>
        <w:t>新增限上贸易企业奖励资金</w:t>
      </w:r>
      <w:r>
        <w:rPr>
          <w:rFonts w:hint="eastAsia" w:ascii="仿宋_GB2312" w:eastAsia="仿宋_GB2312"/>
          <w:sz w:val="32"/>
          <w:szCs w:val="32"/>
        </w:rPr>
        <w:t>，所需资金</w:t>
      </w:r>
      <w:r>
        <w:rPr>
          <w:rFonts w:hint="eastAsia" w:ascii="仿宋_GB2312" w:eastAsia="仿宋_GB2312"/>
          <w:sz w:val="32"/>
          <w:szCs w:val="32"/>
          <w:lang w:val="en-US" w:eastAsia="zh-CN"/>
        </w:rPr>
        <w:t>130</w:t>
      </w:r>
      <w:r>
        <w:rPr>
          <w:rFonts w:hint="eastAsia" w:ascii="仿宋_GB2312" w:eastAsia="仿宋_GB2312"/>
          <w:sz w:val="32"/>
          <w:szCs w:val="32"/>
        </w:rPr>
        <w:t>万元全部为</w:t>
      </w:r>
      <w:r>
        <w:rPr>
          <w:rFonts w:hint="eastAsia" w:ascii="仿宋_GB2312" w:eastAsia="仿宋_GB2312"/>
          <w:sz w:val="32"/>
          <w:szCs w:val="32"/>
          <w:lang w:val="en-US" w:eastAsia="zh-CN"/>
        </w:rPr>
        <w:t>县级财政资金</w:t>
      </w:r>
      <w:r>
        <w:rPr>
          <w:rFonts w:hint="eastAsia" w:ascii="仿宋_GB2312" w:eastAsia="仿宋_GB2312"/>
          <w:sz w:val="32"/>
          <w:szCs w:val="32"/>
        </w:rPr>
        <w:t>，</w:t>
      </w:r>
      <w:r>
        <w:rPr>
          <w:rFonts w:ascii="仿宋_GB2312" w:eastAsia="仿宋_GB2312"/>
          <w:sz w:val="32"/>
          <w:szCs w:val="32"/>
        </w:rPr>
        <w:t>资金来源渠道明确、合法合规，符合财政事权与支出责任相适应的原则</w:t>
      </w:r>
      <w:r>
        <w:rPr>
          <w:rFonts w:hint="eastAsia" w:ascii="仿宋_GB2312" w:eastAsia="仿宋_GB2312"/>
          <w:sz w:val="32"/>
          <w:szCs w:val="32"/>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lang w:val="en-US" w:eastAsia="zh-CN"/>
        </w:rPr>
        <w:t>经研究决定，新增限上贸易企业奖励资金</w:t>
      </w:r>
      <w:bookmarkStart w:id="0" w:name="_GoBack"/>
      <w:bookmarkEnd w:id="0"/>
      <w:r>
        <w:rPr>
          <w:rFonts w:hint="eastAsia" w:ascii="仿宋_GB2312" w:eastAsia="仿宋_GB2312"/>
          <w:sz w:val="32"/>
          <w:szCs w:val="32"/>
          <w:lang w:val="en-US" w:eastAsia="zh-CN"/>
        </w:rPr>
        <w:t>项目</w:t>
      </w:r>
      <w:r>
        <w:rPr>
          <w:rFonts w:hint="eastAsia" w:ascii="仿宋_GB2312" w:eastAsia="仿宋_GB2312"/>
          <w:sz w:val="32"/>
          <w:szCs w:val="32"/>
        </w:rPr>
        <w:t>，所需资金</w:t>
      </w:r>
      <w:r>
        <w:rPr>
          <w:rFonts w:ascii="仿宋_GB2312" w:eastAsia="仿宋_GB2312"/>
          <w:sz w:val="32"/>
          <w:szCs w:val="32"/>
        </w:rPr>
        <w:t>立项依据充分，属于财政事权范围，具有现实紧迫性，相同或相近领域</w:t>
      </w:r>
      <w:r>
        <w:rPr>
          <w:rFonts w:hint="eastAsia" w:ascii="仿宋_GB2312" w:eastAsia="仿宋_GB2312"/>
          <w:sz w:val="32"/>
          <w:szCs w:val="32"/>
        </w:rPr>
        <w:t>无</w:t>
      </w:r>
      <w:r>
        <w:rPr>
          <w:rFonts w:ascii="仿宋_GB2312" w:eastAsia="仿宋_GB2312"/>
          <w:sz w:val="32"/>
          <w:szCs w:val="32"/>
        </w:rPr>
        <w:t>用途相似的预算安排，</w:t>
      </w:r>
      <w:r>
        <w:rPr>
          <w:rFonts w:hint="eastAsia" w:ascii="仿宋_GB2312" w:eastAsia="仿宋_GB2312"/>
          <w:sz w:val="32"/>
          <w:szCs w:val="32"/>
        </w:rPr>
        <w:t>不具有</w:t>
      </w:r>
      <w:r>
        <w:rPr>
          <w:rFonts w:ascii="仿宋_GB2312" w:eastAsia="仿宋_GB2312"/>
          <w:sz w:val="32"/>
          <w:szCs w:val="32"/>
        </w:rPr>
        <w:t>可替代性。</w:t>
      </w:r>
      <w:r>
        <w:rPr>
          <w:rFonts w:hint="eastAsia" w:ascii="仿宋_GB2312" w:eastAsia="仿宋_GB2312"/>
          <w:sz w:val="32"/>
          <w:szCs w:val="32"/>
          <w:lang w:val="en-US" w:eastAsia="zh-CN"/>
        </w:rPr>
        <w:t>2023年度，新增限上贸易企业奖励资金</w:t>
      </w:r>
      <w:r>
        <w:rPr>
          <w:rFonts w:hint="eastAsia" w:ascii="仿宋_GB2312" w:eastAsia="仿宋_GB2312"/>
          <w:sz w:val="32"/>
          <w:szCs w:val="32"/>
        </w:rPr>
        <w:t>项目，所需资金</w:t>
      </w:r>
      <w:r>
        <w:rPr>
          <w:rFonts w:hint="eastAsia" w:ascii="仿宋_GB2312" w:hAnsi="仿宋_GB2312" w:eastAsia="仿宋_GB2312" w:cs="仿宋_GB2312"/>
          <w:sz w:val="32"/>
          <w:szCs w:val="32"/>
          <w:lang w:val="en-US" w:eastAsia="zh-CN"/>
        </w:rPr>
        <w:t>130</w:t>
      </w:r>
      <w:r>
        <w:rPr>
          <w:rFonts w:hint="eastAsia" w:ascii="仿宋_GB2312" w:eastAsia="仿宋_GB2312"/>
          <w:sz w:val="32"/>
          <w:szCs w:val="32"/>
          <w:lang w:val="en-US" w:eastAsia="zh-CN"/>
        </w:rPr>
        <w:t>万元，截至2023年12月31日，新增限上贸易企业奖励资金已经拨付</w:t>
      </w:r>
      <w:r>
        <w:rPr>
          <w:rFonts w:hint="eastAsia" w:ascii="仿宋_GB2312" w:hAnsi="仿宋_GB2312" w:eastAsia="仿宋_GB2312" w:cs="仿宋_GB2312"/>
          <w:sz w:val="32"/>
          <w:szCs w:val="32"/>
          <w:lang w:val="en-US" w:eastAsia="zh-CN"/>
        </w:rPr>
        <w:t>130</w:t>
      </w:r>
      <w:r>
        <w:rPr>
          <w:rFonts w:hint="eastAsia" w:ascii="仿宋_GB2312" w:eastAsia="仿宋_GB2312"/>
          <w:sz w:val="32"/>
          <w:szCs w:val="32"/>
          <w:lang w:val="en-US" w:eastAsia="zh-CN"/>
        </w:rPr>
        <w:t>万元，资金到位率为100%。在新增限上贸易企业奖励资金的使用管理上，严格遵守财经纪律，成立了新增限上贸易企业奖励资金使用工作小组，由局长胡旭旺担任组长，三级主任科员张丽华担任副组长，办公室主任丁立超，内贸科科长齐香玲为组员的组织机构。严格按照2023年度工作计划，确保资金准确及时到位，坚持专款专用，充分发挥资金效益。按照现行资金管理办法的要求，对项目资金进行严格的审批、支付等各项管理制度，无挤占、截留、挪用、骗取、套取、浪费新增限上贸易企业奖励资金的行为。</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_GB2312" w:hAnsi="Times New Roman" w:eastAsia="仿宋_GB2312" w:cs="Times New Roman"/>
          <w:sz w:val="32"/>
          <w:szCs w:val="32"/>
          <w:lang w:val="en-US" w:eastAsia="zh-CN"/>
        </w:rPr>
      </w:pPr>
      <w:r>
        <w:rPr>
          <w:rFonts w:hint="eastAsia" w:ascii="仿宋_GB2312" w:eastAsia="仿宋_GB2312" w:cs="Times New Roman"/>
          <w:sz w:val="32"/>
          <w:szCs w:val="32"/>
          <w:lang w:val="en-US" w:eastAsia="zh-CN"/>
        </w:rPr>
        <w:t>有效激发了我县商贸企业发展活力，限上贸易企业增速达标企业数量为8家，完成率及各项工作完成及时率均达到100%，拨付玉田县凤凰购物有限公司等11家县内企业新增</w:t>
      </w:r>
      <w:r>
        <w:rPr>
          <w:rFonts w:hint="eastAsia" w:ascii="仿宋_GB2312" w:eastAsia="仿宋_GB2312"/>
          <w:sz w:val="32"/>
          <w:szCs w:val="32"/>
          <w:lang w:val="en-US" w:eastAsia="zh-CN"/>
        </w:rPr>
        <w:t>限上贸易企业奖励资金</w:t>
      </w:r>
      <w:r>
        <w:rPr>
          <w:rFonts w:hint="eastAsia" w:ascii="仿宋_GB2312" w:hAnsi="仿宋_GB2312" w:eastAsia="仿宋_GB2312" w:cs="仿宋_GB2312"/>
          <w:sz w:val="32"/>
          <w:szCs w:val="32"/>
          <w:lang w:val="en-US" w:eastAsia="zh-CN"/>
        </w:rPr>
        <w:t>130</w:t>
      </w:r>
      <w:r>
        <w:rPr>
          <w:rFonts w:hint="eastAsia" w:ascii="仿宋_GB2312" w:eastAsia="仿宋_GB2312"/>
          <w:sz w:val="32"/>
          <w:szCs w:val="32"/>
          <w:lang w:val="en-US" w:eastAsia="zh-CN"/>
        </w:rPr>
        <w:t>万元</w:t>
      </w:r>
      <w:r>
        <w:rPr>
          <w:rFonts w:hint="eastAsia" w:ascii="仿宋_GB2312" w:hAnsi="Times New Roman" w:eastAsia="仿宋_GB2312" w:cs="Times New Roman"/>
          <w:sz w:val="32"/>
          <w:szCs w:val="32"/>
          <w:lang w:val="en-US"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cs="Times New Roman"/>
          <w:sz w:val="32"/>
          <w:szCs w:val="32"/>
          <w:lang w:val="en-US" w:eastAsia="zh-CN"/>
        </w:rPr>
        <w:t>销售收入平均增长率达到20%以上</w:t>
      </w:r>
      <w:r>
        <w:rPr>
          <w:rFonts w:hint="eastAsia" w:ascii="仿宋_GB2312" w:eastAsia="仿宋_GB2312"/>
          <w:sz w:val="32"/>
          <w:szCs w:val="32"/>
          <w:lang w:val="en-US" w:eastAsia="zh-CN"/>
        </w:rPr>
        <w:t>，有效促进我县商贸企业发展活力，生态效益增长率和持续服务率均为100%，</w:t>
      </w:r>
      <w:r>
        <w:rPr>
          <w:rFonts w:hint="eastAsia" w:ascii="仿宋_GB2312" w:eastAsia="仿宋_GB2312" w:cs="Times New Roman"/>
          <w:sz w:val="32"/>
          <w:szCs w:val="32"/>
          <w:lang w:val="en-US" w:eastAsia="zh-CN"/>
        </w:rPr>
        <w:t>资金拨付率为100%，</w:t>
      </w:r>
      <w:r>
        <w:rPr>
          <w:rFonts w:hint="eastAsia" w:ascii="方正仿宋简体" w:hAnsi="Times New Roman" w:eastAsia="方正仿宋简体" w:cs="Times New Roman"/>
          <w:sz w:val="32"/>
          <w:szCs w:val="32"/>
          <w:lang w:val="en-US" w:eastAsia="zh-CN"/>
        </w:rPr>
        <w:t>收到了</w:t>
      </w:r>
      <w:r>
        <w:rPr>
          <w:rFonts w:hint="eastAsia" w:ascii="仿宋_GB2312" w:hAnsi="仿宋_GB2312" w:eastAsia="仿宋_GB2312" w:cs="仿宋_GB2312"/>
          <w:sz w:val="32"/>
          <w:szCs w:val="32"/>
          <w:lang w:val="en-US" w:eastAsia="zh-CN"/>
        </w:rPr>
        <w:t>服务</w:t>
      </w:r>
      <w:r>
        <w:rPr>
          <w:rFonts w:hint="eastAsia" w:ascii="方正仿宋简体" w:hAnsi="Times New Roman" w:eastAsia="方正仿宋简体" w:cs="Times New Roman"/>
          <w:sz w:val="32"/>
          <w:szCs w:val="32"/>
          <w:lang w:val="en-US" w:eastAsia="zh-CN"/>
        </w:rPr>
        <w:t>企业和广大人民群众的一致好评，取得了良好的社会效益</w:t>
      </w:r>
      <w:r>
        <w:rPr>
          <w:rFonts w:hint="eastAsia" w:ascii="方正仿宋简体" w:hAnsi="Times New Roman" w:eastAsia="方正仿宋简体" w:cs="Times New Roman"/>
          <w:sz w:val="32"/>
          <w:szCs w:val="32"/>
        </w:rPr>
        <w:t>。</w:t>
      </w:r>
    </w:p>
    <w:p>
      <w:pPr>
        <w:spacing w:line="600" w:lineRule="exact"/>
        <w:ind w:firstLine="640" w:firstLineChars="200"/>
        <w:rPr>
          <w:rFonts w:hint="eastAsia" w:eastAsia="黑体"/>
          <w:sz w:val="32"/>
          <w:szCs w:val="32"/>
        </w:rPr>
      </w:pPr>
      <w:r>
        <w:rPr>
          <w:rFonts w:hint="eastAsia" w:eastAsia="黑体"/>
          <w:sz w:val="32"/>
          <w:szCs w:val="32"/>
        </w:rPr>
        <w:t>五、主要经验及做法、存在的问题及原因分析</w:t>
      </w:r>
    </w:p>
    <w:p>
      <w:pPr>
        <w:spacing w:line="600" w:lineRule="exact"/>
        <w:ind w:firstLine="640" w:firstLineChars="200"/>
        <w:rPr>
          <w:rFonts w:eastAsia="黑体"/>
          <w:sz w:val="32"/>
          <w:szCs w:val="32"/>
        </w:rPr>
      </w:pPr>
      <w:r>
        <w:rPr>
          <w:rFonts w:hint="eastAsia" w:ascii="仿宋_GB2312" w:hAnsi="仿宋_GB2312" w:eastAsia="仿宋_GB2312" w:cs="仿宋_GB2312"/>
          <w:i w:val="0"/>
          <w:caps w:val="0"/>
          <w:color w:val="333333"/>
          <w:spacing w:val="0"/>
          <w:sz w:val="32"/>
          <w:szCs w:val="32"/>
          <w:shd w:val="clear" w:color="auto" w:fill="FFFFFF"/>
          <w:lang w:val="en-US" w:eastAsia="zh-CN"/>
        </w:rPr>
        <w:t>为做好预算绩效考核的各项工作，我局初步建立了财政预算绩效管理相关制度和工作机制，稳步推进预算绩效管理工作，进一步优化了公共资源配置，提高了公共服务质量，增强了预算支出主体责任。</w:t>
      </w:r>
    </w:p>
    <w:p>
      <w:pPr>
        <w:spacing w:line="600" w:lineRule="exact"/>
        <w:ind w:firstLine="640" w:firstLineChars="200"/>
        <w:rPr>
          <w:rFonts w:hint="eastAsia" w:eastAsia="黑体"/>
          <w:sz w:val="32"/>
          <w:szCs w:val="32"/>
        </w:rPr>
      </w:pPr>
      <w:r>
        <w:rPr>
          <w:rFonts w:hint="eastAsia" w:eastAsia="黑体"/>
          <w:sz w:val="32"/>
          <w:szCs w:val="32"/>
        </w:rPr>
        <w:t>六、有关建议</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default" w:ascii="Times New Roman" w:hAnsi="Times New Roman" w:eastAsia="黑体" w:cs="Times New Roman"/>
          <w:sz w:val="32"/>
          <w:szCs w:val="32"/>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今后，我局将继续加强预算绩效监督管理工作，建立确实可行的内部控制制度，为预算绩效管理开展提供相应的指导和监督，及时整改发现的问题，确保预算绩效管理工作顺利进行。</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keepNext w:val="0"/>
        <w:keepLines w:val="0"/>
        <w:pageBreakBefore w:val="0"/>
        <w:widowControl/>
        <w:numPr>
          <w:ilvl w:val="0"/>
          <w:numId w:val="0"/>
        </w:numPr>
        <w:kinsoku/>
        <w:wordWrap/>
        <w:overflowPunct/>
        <w:topLinePunct w:val="0"/>
        <w:autoSpaceDE/>
        <w:autoSpaceDN/>
        <w:bidi w:val="0"/>
        <w:adjustRightInd/>
        <w:snapToGrid/>
        <w:spacing w:line="480" w:lineRule="auto"/>
        <w:ind w:firstLine="640" w:firstLineChars="200"/>
        <w:jc w:val="left"/>
        <w:textAlignment w:val="auto"/>
        <w:rPr>
          <w:rFonts w:hint="eastAsia" w:ascii="仿宋_GB2312" w:hAnsi="仿宋_GB2312" w:eastAsia="仿宋_GB2312" w:cs="仿宋_GB2312"/>
          <w:i w:val="0"/>
          <w:caps w:val="0"/>
          <w:color w:val="333333"/>
          <w:spacing w:val="0"/>
          <w:sz w:val="32"/>
          <w:szCs w:val="32"/>
          <w:shd w:val="clear" w:color="auto" w:fill="FFFFFF"/>
          <w:lang w:val="en-US" w:eastAsia="zh-CN"/>
        </w:rPr>
      </w:pPr>
      <w:r>
        <w:rPr>
          <w:rFonts w:hint="eastAsia" w:ascii="仿宋_GB2312" w:hAnsi="仿宋_GB2312" w:eastAsia="仿宋_GB2312" w:cs="仿宋_GB2312"/>
          <w:i w:val="0"/>
          <w:caps w:val="0"/>
          <w:color w:val="333333"/>
          <w:spacing w:val="0"/>
          <w:sz w:val="32"/>
          <w:szCs w:val="32"/>
          <w:shd w:val="clear" w:color="auto" w:fill="FFFFFF"/>
          <w:lang w:val="en-US" w:eastAsia="zh-CN"/>
        </w:rPr>
        <w:t>无。</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5433B0A"/>
    <w:rsid w:val="058A7169"/>
    <w:rsid w:val="0B364CF6"/>
    <w:rsid w:val="0BA33D64"/>
    <w:rsid w:val="0CBC7884"/>
    <w:rsid w:val="0FD13331"/>
    <w:rsid w:val="118A4BD3"/>
    <w:rsid w:val="19F812EC"/>
    <w:rsid w:val="1D0A0FB8"/>
    <w:rsid w:val="1D9A6920"/>
    <w:rsid w:val="1F2D1279"/>
    <w:rsid w:val="257D2979"/>
    <w:rsid w:val="27CF4743"/>
    <w:rsid w:val="29F2743A"/>
    <w:rsid w:val="31A56F48"/>
    <w:rsid w:val="34614ACA"/>
    <w:rsid w:val="3691092C"/>
    <w:rsid w:val="3AA03120"/>
    <w:rsid w:val="3ECF4DC1"/>
    <w:rsid w:val="44787793"/>
    <w:rsid w:val="4595474B"/>
    <w:rsid w:val="483E05A8"/>
    <w:rsid w:val="49436A1A"/>
    <w:rsid w:val="49D67DF9"/>
    <w:rsid w:val="49DE7169"/>
    <w:rsid w:val="4AAF4CB1"/>
    <w:rsid w:val="4B525DE9"/>
    <w:rsid w:val="5086304C"/>
    <w:rsid w:val="51163C25"/>
    <w:rsid w:val="518A2EE3"/>
    <w:rsid w:val="51D879E2"/>
    <w:rsid w:val="52A446D9"/>
    <w:rsid w:val="552E231E"/>
    <w:rsid w:val="5A322E92"/>
    <w:rsid w:val="5EBB696B"/>
    <w:rsid w:val="60E72E42"/>
    <w:rsid w:val="63AF0C61"/>
    <w:rsid w:val="645769AB"/>
    <w:rsid w:val="68AD3D21"/>
    <w:rsid w:val="6CE540E0"/>
    <w:rsid w:val="6D3660E9"/>
    <w:rsid w:val="757026C7"/>
    <w:rsid w:val="764243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3</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2024-04-22T06:58:29Z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