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科学技术局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河北工业大学技术转移中心（玉田）分中心启动资金 </w:t>
      </w:r>
      <w:r>
        <w:rPr>
          <w:rFonts w:hint="eastAsia" w:ascii="方正小标宋_GBK" w:hAnsi="宋体" w:eastAsia="方正小标宋_GBK" w:cs="宋体"/>
          <w:bCs/>
          <w:kern w:val="0"/>
          <w:sz w:val="44"/>
          <w:szCs w:val="44"/>
        </w:rPr>
        <w:t>项目支出绩效评价报告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ascii="仿宋_GB2312" w:eastAsia="仿宋_GB2312"/>
          <w:sz w:val="32"/>
          <w:szCs w:val="32"/>
        </w:rPr>
      </w:pPr>
      <w:r>
        <w:rPr>
          <w:rFonts w:hint="eastAsia" w:ascii="仿宋_GB2312" w:hAnsi="Calibri" w:eastAsia="仿宋_GB2312" w:cs="Times New Roman"/>
          <w:sz w:val="32"/>
          <w:lang w:val="en-US" w:eastAsia="zh-CN"/>
        </w:rPr>
        <w:t>按照《</w:t>
      </w:r>
      <w:r>
        <w:rPr>
          <w:rFonts w:hint="eastAsia" w:ascii="仿宋_GB2312" w:hAnsi="Calibri" w:eastAsia="仿宋_GB2312" w:cs="Times New Roman"/>
          <w:sz w:val="32"/>
        </w:rPr>
        <w:t>河北工业大学</w:t>
      </w:r>
      <w:r>
        <w:rPr>
          <w:rFonts w:hint="eastAsia" w:ascii="仿宋_GB2312" w:hAnsi="Calibri" w:eastAsia="仿宋_GB2312" w:cs="Times New Roman"/>
          <w:sz w:val="32"/>
          <w:lang w:val="en-US" w:eastAsia="zh-CN"/>
        </w:rPr>
        <w:t>与</w:t>
      </w:r>
      <w:r>
        <w:rPr>
          <w:rFonts w:hint="eastAsia" w:ascii="仿宋_GB2312" w:hAnsi="Calibri" w:eastAsia="仿宋_GB2312" w:cs="Times New Roman"/>
          <w:sz w:val="32"/>
        </w:rPr>
        <w:t>玉田县人民政府共建河北工业大学技术转移中心（玉田）分中心合作协议书</w:t>
      </w:r>
      <w:r>
        <w:rPr>
          <w:rFonts w:hint="eastAsia" w:ascii="仿宋_GB2312" w:hAnsi="Calibri" w:eastAsia="仿宋_GB2312" w:cs="Times New Roman"/>
          <w:sz w:val="32"/>
          <w:lang w:val="en-US" w:eastAsia="zh-CN"/>
        </w:rPr>
        <w:t>》应</w:t>
      </w:r>
      <w:r>
        <w:rPr>
          <w:rFonts w:hint="eastAsia" w:ascii="仿宋_GB2312" w:hAnsi="Calibri" w:eastAsia="仿宋_GB2312" w:cs="Times New Roman"/>
          <w:sz w:val="32"/>
        </w:rPr>
        <w:t>拨付10万元启动资金，用于分中心第一年试运行必要的工作经费</w:t>
      </w:r>
      <w:r>
        <w:rPr>
          <w:rFonts w:hint="eastAsia" w:ascii="仿宋_GB2312" w:hAnsi="Calibri" w:eastAsia="仿宋_GB2312" w:cs="Times New Roman"/>
          <w:sz w:val="32"/>
          <w:lang w:eastAsia="zh-CN"/>
        </w:rPr>
        <w:t>。</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bookmarkStart w:id="0" w:name="_GoBack"/>
      <w:bookmarkEnd w:id="0"/>
    </w:p>
    <w:tbl>
      <w:tblPr>
        <w:tblStyle w:val="5"/>
        <w:tblpPr w:leftFromText="180" w:rightFromText="180" w:vertAnchor="text" w:horzAnchor="page" w:tblpX="1817" w:tblpY="767"/>
        <w:tblOverlap w:val="never"/>
        <w:tblW w:w="4998"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108" w:type="dxa"/>
          <w:bottom w:w="0" w:type="dxa"/>
          <w:right w:w="108" w:type="dxa"/>
        </w:tblCellMar>
      </w:tblPr>
      <w:tblGrid>
        <w:gridCol w:w="1419"/>
        <w:gridCol w:w="1420"/>
        <w:gridCol w:w="1420"/>
        <w:gridCol w:w="2840"/>
        <w:gridCol w:w="142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trPr>
        <w:tc>
          <w:tcPr>
            <w:tcW w:w="833" w:type="pct"/>
            <w:vAlign w:val="center"/>
          </w:tcPr>
          <w:p>
            <w:pPr>
              <w:pStyle w:val="11"/>
              <w:rPr>
                <w:sz w:val="20"/>
                <w:szCs w:val="22"/>
              </w:rPr>
            </w:pPr>
            <w:r>
              <w:rPr>
                <w:sz w:val="20"/>
                <w:szCs w:val="22"/>
              </w:rPr>
              <w:t>一级指标</w:t>
            </w:r>
          </w:p>
        </w:tc>
        <w:tc>
          <w:tcPr>
            <w:tcW w:w="833" w:type="pct"/>
            <w:vAlign w:val="center"/>
          </w:tcPr>
          <w:p>
            <w:pPr>
              <w:pStyle w:val="11"/>
              <w:rPr>
                <w:sz w:val="20"/>
                <w:szCs w:val="22"/>
              </w:rPr>
            </w:pPr>
            <w:r>
              <w:rPr>
                <w:sz w:val="20"/>
                <w:szCs w:val="22"/>
              </w:rPr>
              <w:t>二级指标</w:t>
            </w:r>
          </w:p>
        </w:tc>
        <w:tc>
          <w:tcPr>
            <w:tcW w:w="833" w:type="pct"/>
            <w:vAlign w:val="center"/>
          </w:tcPr>
          <w:p>
            <w:pPr>
              <w:pStyle w:val="11"/>
              <w:rPr>
                <w:sz w:val="20"/>
                <w:szCs w:val="22"/>
              </w:rPr>
            </w:pPr>
            <w:r>
              <w:rPr>
                <w:sz w:val="20"/>
                <w:szCs w:val="22"/>
              </w:rPr>
              <w:t>三级指标</w:t>
            </w:r>
          </w:p>
        </w:tc>
        <w:tc>
          <w:tcPr>
            <w:tcW w:w="1666" w:type="pct"/>
            <w:vAlign w:val="center"/>
          </w:tcPr>
          <w:p>
            <w:pPr>
              <w:pStyle w:val="11"/>
              <w:rPr>
                <w:sz w:val="20"/>
                <w:szCs w:val="22"/>
              </w:rPr>
            </w:pPr>
            <w:r>
              <w:rPr>
                <w:sz w:val="20"/>
                <w:szCs w:val="22"/>
              </w:rPr>
              <w:t>绩效指标描述</w:t>
            </w:r>
          </w:p>
        </w:tc>
        <w:tc>
          <w:tcPr>
            <w:tcW w:w="833" w:type="pct"/>
            <w:vAlign w:val="center"/>
          </w:tcPr>
          <w:p>
            <w:pPr>
              <w:pStyle w:val="11"/>
              <w:rPr>
                <w:sz w:val="20"/>
                <w:szCs w:val="22"/>
              </w:rPr>
            </w:pPr>
            <w:r>
              <w:rPr>
                <w:sz w:val="20"/>
                <w:szCs w:val="22"/>
              </w:rP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833" w:type="pct"/>
            <w:vMerge w:val="restart"/>
            <w:vAlign w:val="center"/>
          </w:tcPr>
          <w:p>
            <w:pPr>
              <w:pStyle w:val="12"/>
              <w:rPr>
                <w:sz w:val="20"/>
                <w:szCs w:val="22"/>
              </w:rPr>
            </w:pPr>
            <w:r>
              <w:rPr>
                <w:sz w:val="20"/>
                <w:szCs w:val="22"/>
              </w:rPr>
              <w:t>产出指标</w:t>
            </w:r>
          </w:p>
        </w:tc>
        <w:tc>
          <w:tcPr>
            <w:tcW w:w="833" w:type="pct"/>
            <w:vAlign w:val="center"/>
          </w:tcPr>
          <w:p>
            <w:pPr>
              <w:pStyle w:val="13"/>
              <w:rPr>
                <w:sz w:val="20"/>
                <w:szCs w:val="22"/>
              </w:rPr>
            </w:pPr>
            <w:r>
              <w:rPr>
                <w:sz w:val="20"/>
                <w:szCs w:val="22"/>
              </w:rPr>
              <w:t>数量指标</w:t>
            </w:r>
          </w:p>
        </w:tc>
        <w:tc>
          <w:tcPr>
            <w:tcW w:w="833" w:type="pct"/>
            <w:vAlign w:val="center"/>
          </w:tcPr>
          <w:p>
            <w:pPr>
              <w:pStyle w:val="13"/>
              <w:rPr>
                <w:sz w:val="20"/>
                <w:szCs w:val="22"/>
              </w:rPr>
            </w:pPr>
            <w:r>
              <w:rPr>
                <w:sz w:val="20"/>
                <w:szCs w:val="22"/>
              </w:rPr>
              <w:t>数量指标</w:t>
            </w:r>
          </w:p>
        </w:tc>
        <w:tc>
          <w:tcPr>
            <w:tcW w:w="1666" w:type="pct"/>
            <w:vAlign w:val="center"/>
          </w:tcPr>
          <w:p>
            <w:pPr>
              <w:pStyle w:val="13"/>
              <w:rPr>
                <w:sz w:val="20"/>
                <w:szCs w:val="22"/>
              </w:rPr>
            </w:pPr>
            <w:r>
              <w:rPr>
                <w:sz w:val="20"/>
                <w:szCs w:val="22"/>
              </w:rPr>
              <w:t>数量指标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rPr>
                <w:sz w:val="20"/>
                <w:szCs w:val="22"/>
              </w:rPr>
            </w:pPr>
            <w:r>
              <w:rPr>
                <w:sz w:val="20"/>
                <w:szCs w:val="22"/>
              </w:rPr>
              <w:t>成立河北工业大学技术转移中心（玉田）分中心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833" w:type="pct"/>
            <w:vMerge w:val="continue"/>
            <w:vAlign w:val="center"/>
          </w:tcPr>
          <w:p>
            <w:pPr>
              <w:rPr>
                <w:sz w:val="20"/>
                <w:szCs w:val="22"/>
              </w:rPr>
            </w:pPr>
          </w:p>
        </w:tc>
        <w:tc>
          <w:tcPr>
            <w:tcW w:w="833" w:type="pct"/>
            <w:vAlign w:val="center"/>
          </w:tcPr>
          <w:p>
            <w:pPr>
              <w:pStyle w:val="13"/>
              <w:rPr>
                <w:sz w:val="20"/>
                <w:szCs w:val="22"/>
              </w:rPr>
            </w:pPr>
            <w:r>
              <w:rPr>
                <w:sz w:val="20"/>
                <w:szCs w:val="22"/>
              </w:rPr>
              <w:t>质量指标</w:t>
            </w:r>
          </w:p>
        </w:tc>
        <w:tc>
          <w:tcPr>
            <w:tcW w:w="833" w:type="pct"/>
            <w:vAlign w:val="center"/>
          </w:tcPr>
          <w:p>
            <w:pPr>
              <w:pStyle w:val="13"/>
              <w:rPr>
                <w:sz w:val="20"/>
                <w:szCs w:val="22"/>
              </w:rPr>
            </w:pPr>
            <w:r>
              <w:rPr>
                <w:sz w:val="20"/>
                <w:szCs w:val="22"/>
              </w:rPr>
              <w:t>质量指标</w:t>
            </w:r>
          </w:p>
        </w:tc>
        <w:tc>
          <w:tcPr>
            <w:tcW w:w="1666" w:type="pct"/>
            <w:vAlign w:val="center"/>
          </w:tcPr>
          <w:p>
            <w:pPr>
              <w:pStyle w:val="13"/>
              <w:rPr>
                <w:sz w:val="20"/>
                <w:szCs w:val="22"/>
              </w:rPr>
            </w:pPr>
            <w:r>
              <w:rPr>
                <w:sz w:val="20"/>
                <w:szCs w:val="22"/>
              </w:rPr>
              <w:t>质量指标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rPr>
                <w:sz w:val="20"/>
                <w:szCs w:val="22"/>
              </w:rPr>
            </w:pPr>
            <w:r>
              <w:rPr>
                <w:sz w:val="20"/>
                <w:szCs w:val="22"/>
              </w:rPr>
              <w:t>发挥河北工业大学科研和人才优势，助力玉田产业升级和经济建设</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833" w:type="pct"/>
            <w:vMerge w:val="continue"/>
            <w:vAlign w:val="center"/>
          </w:tcPr>
          <w:p>
            <w:pPr>
              <w:rPr>
                <w:sz w:val="20"/>
                <w:szCs w:val="22"/>
              </w:rPr>
            </w:pPr>
          </w:p>
        </w:tc>
        <w:tc>
          <w:tcPr>
            <w:tcW w:w="833" w:type="pct"/>
            <w:vAlign w:val="center"/>
          </w:tcPr>
          <w:p>
            <w:pPr>
              <w:pStyle w:val="13"/>
              <w:rPr>
                <w:sz w:val="20"/>
                <w:szCs w:val="22"/>
              </w:rPr>
            </w:pPr>
            <w:r>
              <w:rPr>
                <w:sz w:val="20"/>
                <w:szCs w:val="22"/>
              </w:rPr>
              <w:t>时效指标</w:t>
            </w:r>
          </w:p>
        </w:tc>
        <w:tc>
          <w:tcPr>
            <w:tcW w:w="833" w:type="pct"/>
            <w:vAlign w:val="center"/>
          </w:tcPr>
          <w:p>
            <w:pPr>
              <w:pStyle w:val="13"/>
              <w:rPr>
                <w:sz w:val="20"/>
                <w:szCs w:val="22"/>
              </w:rPr>
            </w:pPr>
            <w:r>
              <w:rPr>
                <w:sz w:val="20"/>
                <w:szCs w:val="22"/>
              </w:rPr>
              <w:t>及时性</w:t>
            </w:r>
          </w:p>
        </w:tc>
        <w:tc>
          <w:tcPr>
            <w:tcW w:w="1666" w:type="pct"/>
            <w:vAlign w:val="center"/>
          </w:tcPr>
          <w:p>
            <w:pPr>
              <w:pStyle w:val="13"/>
              <w:rPr>
                <w:sz w:val="20"/>
                <w:szCs w:val="22"/>
              </w:rPr>
            </w:pPr>
            <w:r>
              <w:rPr>
                <w:sz w:val="20"/>
                <w:szCs w:val="22"/>
              </w:rPr>
              <w:t>及时性</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rPr>
                <w:sz w:val="20"/>
                <w:szCs w:val="22"/>
              </w:rPr>
            </w:pPr>
            <w:r>
              <w:rPr>
                <w:sz w:val="20"/>
                <w:szCs w:val="22"/>
              </w:rPr>
              <w:t>及时支付启动资金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833" w:type="pct"/>
            <w:vMerge w:val="continue"/>
            <w:vAlign w:val="center"/>
          </w:tcPr>
          <w:p>
            <w:pPr>
              <w:rPr>
                <w:sz w:val="20"/>
                <w:szCs w:val="22"/>
              </w:rPr>
            </w:pPr>
          </w:p>
        </w:tc>
        <w:tc>
          <w:tcPr>
            <w:tcW w:w="833" w:type="pct"/>
            <w:vAlign w:val="center"/>
          </w:tcPr>
          <w:p>
            <w:pPr>
              <w:pStyle w:val="13"/>
              <w:rPr>
                <w:sz w:val="20"/>
                <w:szCs w:val="22"/>
              </w:rPr>
            </w:pPr>
            <w:r>
              <w:rPr>
                <w:sz w:val="20"/>
                <w:szCs w:val="22"/>
              </w:rPr>
              <w:t>成本指标</w:t>
            </w:r>
          </w:p>
        </w:tc>
        <w:tc>
          <w:tcPr>
            <w:tcW w:w="833" w:type="pct"/>
            <w:vAlign w:val="center"/>
          </w:tcPr>
          <w:p>
            <w:pPr>
              <w:pStyle w:val="13"/>
              <w:rPr>
                <w:sz w:val="20"/>
                <w:szCs w:val="22"/>
              </w:rPr>
            </w:pPr>
            <w:r>
              <w:rPr>
                <w:sz w:val="20"/>
                <w:szCs w:val="22"/>
              </w:rPr>
              <w:t>资金成本</w:t>
            </w:r>
          </w:p>
        </w:tc>
        <w:tc>
          <w:tcPr>
            <w:tcW w:w="1666" w:type="pct"/>
            <w:vAlign w:val="center"/>
          </w:tcPr>
          <w:p>
            <w:pPr>
              <w:pStyle w:val="13"/>
              <w:rPr>
                <w:sz w:val="20"/>
                <w:szCs w:val="22"/>
              </w:rPr>
            </w:pPr>
            <w:r>
              <w:rPr>
                <w:sz w:val="20"/>
                <w:szCs w:val="22"/>
              </w:rPr>
              <w:t>资金成本</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rPr>
                <w:sz w:val="20"/>
                <w:szCs w:val="22"/>
              </w:rPr>
            </w:pPr>
            <w:r>
              <w:rPr>
                <w:sz w:val="20"/>
                <w:szCs w:val="22"/>
              </w:rPr>
              <w:t>10万元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833" w:type="pct"/>
            <w:vMerge w:val="restart"/>
            <w:vAlign w:val="center"/>
          </w:tcPr>
          <w:p>
            <w:pPr>
              <w:pStyle w:val="12"/>
              <w:rPr>
                <w:sz w:val="20"/>
                <w:szCs w:val="22"/>
              </w:rPr>
            </w:pPr>
            <w:r>
              <w:rPr>
                <w:sz w:val="20"/>
                <w:szCs w:val="22"/>
              </w:rPr>
              <w:t>效益指标</w:t>
            </w:r>
          </w:p>
        </w:tc>
        <w:tc>
          <w:tcPr>
            <w:tcW w:w="833" w:type="pct"/>
            <w:vAlign w:val="center"/>
          </w:tcPr>
          <w:p>
            <w:pPr>
              <w:pStyle w:val="13"/>
              <w:rPr>
                <w:sz w:val="20"/>
                <w:szCs w:val="22"/>
              </w:rPr>
            </w:pPr>
            <w:r>
              <w:rPr>
                <w:sz w:val="20"/>
                <w:szCs w:val="22"/>
              </w:rPr>
              <w:t>经济效益指标</w:t>
            </w:r>
          </w:p>
        </w:tc>
        <w:tc>
          <w:tcPr>
            <w:tcW w:w="833" w:type="pct"/>
            <w:vAlign w:val="center"/>
          </w:tcPr>
          <w:p>
            <w:pPr>
              <w:pStyle w:val="13"/>
              <w:rPr>
                <w:sz w:val="20"/>
                <w:szCs w:val="22"/>
              </w:rPr>
            </w:pPr>
            <w:r>
              <w:rPr>
                <w:sz w:val="20"/>
                <w:szCs w:val="22"/>
              </w:rPr>
              <w:t>经济效益指标</w:t>
            </w:r>
          </w:p>
        </w:tc>
        <w:tc>
          <w:tcPr>
            <w:tcW w:w="1666" w:type="pct"/>
            <w:vAlign w:val="center"/>
          </w:tcPr>
          <w:p>
            <w:pPr>
              <w:pStyle w:val="13"/>
              <w:rPr>
                <w:sz w:val="20"/>
                <w:szCs w:val="22"/>
              </w:rPr>
            </w:pPr>
            <w:r>
              <w:rPr>
                <w:sz w:val="20"/>
                <w:szCs w:val="22"/>
              </w:rPr>
              <w:t>经济效益指标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rPr>
                <w:sz w:val="20"/>
                <w:szCs w:val="22"/>
              </w:rPr>
            </w:pPr>
            <w:r>
              <w:rPr>
                <w:sz w:val="20"/>
                <w:szCs w:val="22"/>
              </w:rPr>
              <w:t>不断提高服务质量</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833" w:type="pct"/>
            <w:vMerge w:val="continue"/>
            <w:vAlign w:val="center"/>
          </w:tcPr>
          <w:p>
            <w:pPr>
              <w:rPr>
                <w:sz w:val="20"/>
                <w:szCs w:val="22"/>
              </w:rPr>
            </w:pPr>
          </w:p>
        </w:tc>
        <w:tc>
          <w:tcPr>
            <w:tcW w:w="833" w:type="pct"/>
            <w:vAlign w:val="center"/>
          </w:tcPr>
          <w:p>
            <w:pPr>
              <w:pStyle w:val="13"/>
              <w:rPr>
                <w:sz w:val="20"/>
                <w:szCs w:val="22"/>
              </w:rPr>
            </w:pPr>
            <w:r>
              <w:rPr>
                <w:sz w:val="20"/>
                <w:szCs w:val="22"/>
              </w:rPr>
              <w:t>社会效益指标</w:t>
            </w:r>
          </w:p>
        </w:tc>
        <w:tc>
          <w:tcPr>
            <w:tcW w:w="833" w:type="pct"/>
            <w:vAlign w:val="center"/>
          </w:tcPr>
          <w:p>
            <w:pPr>
              <w:pStyle w:val="13"/>
              <w:rPr>
                <w:sz w:val="20"/>
                <w:szCs w:val="22"/>
              </w:rPr>
            </w:pPr>
            <w:r>
              <w:rPr>
                <w:sz w:val="20"/>
                <w:szCs w:val="22"/>
              </w:rPr>
              <w:t>社会效益</w:t>
            </w:r>
          </w:p>
        </w:tc>
        <w:tc>
          <w:tcPr>
            <w:tcW w:w="1666" w:type="pct"/>
            <w:vAlign w:val="center"/>
          </w:tcPr>
          <w:p>
            <w:pPr>
              <w:pStyle w:val="13"/>
              <w:rPr>
                <w:sz w:val="20"/>
                <w:szCs w:val="22"/>
              </w:rPr>
            </w:pPr>
            <w:r>
              <w:rPr>
                <w:sz w:val="20"/>
                <w:szCs w:val="22"/>
              </w:rPr>
              <w:t>社会效益</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rPr>
                <w:sz w:val="20"/>
                <w:szCs w:val="22"/>
              </w:rPr>
            </w:pPr>
            <w:r>
              <w:rPr>
                <w:sz w:val="20"/>
                <w:szCs w:val="22"/>
              </w:rPr>
              <w:t>集聚更多人才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833" w:type="pct"/>
            <w:vMerge w:val="continue"/>
            <w:vAlign w:val="center"/>
          </w:tcPr>
          <w:p>
            <w:pPr>
              <w:rPr>
                <w:sz w:val="20"/>
                <w:szCs w:val="22"/>
              </w:rPr>
            </w:pPr>
          </w:p>
        </w:tc>
        <w:tc>
          <w:tcPr>
            <w:tcW w:w="833" w:type="pct"/>
            <w:vAlign w:val="center"/>
          </w:tcPr>
          <w:p>
            <w:pPr>
              <w:pStyle w:val="13"/>
              <w:rPr>
                <w:sz w:val="20"/>
                <w:szCs w:val="22"/>
              </w:rPr>
            </w:pPr>
            <w:r>
              <w:rPr>
                <w:sz w:val="20"/>
                <w:szCs w:val="22"/>
              </w:rPr>
              <w:t>生态效益指标</w:t>
            </w:r>
          </w:p>
        </w:tc>
        <w:tc>
          <w:tcPr>
            <w:tcW w:w="833" w:type="pct"/>
            <w:vAlign w:val="center"/>
          </w:tcPr>
          <w:p>
            <w:pPr>
              <w:pStyle w:val="13"/>
              <w:rPr>
                <w:sz w:val="20"/>
                <w:szCs w:val="22"/>
              </w:rPr>
            </w:pPr>
            <w:r>
              <w:rPr>
                <w:sz w:val="20"/>
                <w:szCs w:val="22"/>
              </w:rPr>
              <w:t>生态效益指标</w:t>
            </w:r>
          </w:p>
        </w:tc>
        <w:tc>
          <w:tcPr>
            <w:tcW w:w="1666" w:type="pct"/>
            <w:vAlign w:val="center"/>
          </w:tcPr>
          <w:p>
            <w:pPr>
              <w:pStyle w:val="13"/>
              <w:rPr>
                <w:sz w:val="20"/>
                <w:szCs w:val="22"/>
              </w:rPr>
            </w:pPr>
            <w:r>
              <w:rPr>
                <w:sz w:val="20"/>
                <w:szCs w:val="22"/>
              </w:rPr>
              <w:t>生态效益指标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rPr>
                <w:sz w:val="20"/>
                <w:szCs w:val="22"/>
              </w:rPr>
            </w:pPr>
            <w:r>
              <w:rPr>
                <w:sz w:val="20"/>
                <w:szCs w:val="22"/>
              </w:rPr>
              <w:t>不断转好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833" w:type="pct"/>
            <w:vMerge w:val="continue"/>
            <w:vAlign w:val="center"/>
          </w:tcPr>
          <w:p>
            <w:pPr>
              <w:rPr>
                <w:sz w:val="20"/>
                <w:szCs w:val="22"/>
              </w:rPr>
            </w:pPr>
          </w:p>
        </w:tc>
        <w:tc>
          <w:tcPr>
            <w:tcW w:w="833" w:type="pct"/>
            <w:vAlign w:val="center"/>
          </w:tcPr>
          <w:p>
            <w:pPr>
              <w:pStyle w:val="13"/>
              <w:rPr>
                <w:sz w:val="20"/>
                <w:szCs w:val="22"/>
              </w:rPr>
            </w:pPr>
            <w:r>
              <w:rPr>
                <w:sz w:val="20"/>
                <w:szCs w:val="22"/>
              </w:rPr>
              <w:t>可持续影响指标</w:t>
            </w:r>
          </w:p>
        </w:tc>
        <w:tc>
          <w:tcPr>
            <w:tcW w:w="833" w:type="pct"/>
            <w:vAlign w:val="center"/>
          </w:tcPr>
          <w:p>
            <w:pPr>
              <w:pStyle w:val="13"/>
              <w:rPr>
                <w:sz w:val="20"/>
                <w:szCs w:val="22"/>
              </w:rPr>
            </w:pPr>
            <w:r>
              <w:rPr>
                <w:sz w:val="20"/>
                <w:szCs w:val="22"/>
              </w:rPr>
              <w:t>可持续性服务</w:t>
            </w:r>
          </w:p>
        </w:tc>
        <w:tc>
          <w:tcPr>
            <w:tcW w:w="1666" w:type="pct"/>
            <w:vAlign w:val="center"/>
          </w:tcPr>
          <w:p>
            <w:pPr>
              <w:pStyle w:val="13"/>
              <w:rPr>
                <w:sz w:val="20"/>
                <w:szCs w:val="22"/>
              </w:rPr>
            </w:pPr>
            <w:r>
              <w:rPr>
                <w:sz w:val="20"/>
                <w:szCs w:val="22"/>
              </w:rPr>
              <w:t>可持续性服务</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rPr>
                <w:sz w:val="20"/>
                <w:szCs w:val="22"/>
              </w:rPr>
            </w:pPr>
            <w:r>
              <w:rPr>
                <w:sz w:val="20"/>
                <w:szCs w:val="22"/>
              </w:rPr>
              <w:t>持续开展服务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833" w:type="pct"/>
            <w:vAlign w:val="center"/>
          </w:tcPr>
          <w:p>
            <w:pPr>
              <w:pStyle w:val="12"/>
              <w:rPr>
                <w:sz w:val="20"/>
                <w:szCs w:val="22"/>
              </w:rPr>
            </w:pPr>
            <w:r>
              <w:rPr>
                <w:sz w:val="20"/>
                <w:szCs w:val="22"/>
              </w:rPr>
              <w:t>满意度指标</w:t>
            </w:r>
          </w:p>
        </w:tc>
        <w:tc>
          <w:tcPr>
            <w:tcW w:w="833" w:type="pct"/>
            <w:vAlign w:val="center"/>
          </w:tcPr>
          <w:p>
            <w:pPr>
              <w:pStyle w:val="13"/>
              <w:rPr>
                <w:sz w:val="20"/>
                <w:szCs w:val="22"/>
              </w:rPr>
            </w:pPr>
            <w:r>
              <w:rPr>
                <w:sz w:val="20"/>
                <w:szCs w:val="22"/>
              </w:rPr>
              <w:t>服务对象满意度指标</w:t>
            </w:r>
          </w:p>
        </w:tc>
        <w:tc>
          <w:tcPr>
            <w:tcW w:w="833" w:type="pct"/>
            <w:vAlign w:val="center"/>
          </w:tcPr>
          <w:p>
            <w:pPr>
              <w:pStyle w:val="13"/>
              <w:rPr>
                <w:sz w:val="20"/>
                <w:szCs w:val="22"/>
              </w:rPr>
            </w:pPr>
            <w:r>
              <w:rPr>
                <w:sz w:val="20"/>
                <w:szCs w:val="22"/>
              </w:rPr>
              <w:t>满意率</w:t>
            </w:r>
          </w:p>
        </w:tc>
        <w:tc>
          <w:tcPr>
            <w:tcW w:w="1666" w:type="pct"/>
            <w:vAlign w:val="center"/>
          </w:tcPr>
          <w:p>
            <w:pPr>
              <w:pStyle w:val="13"/>
              <w:rPr>
                <w:sz w:val="20"/>
                <w:szCs w:val="22"/>
              </w:rPr>
            </w:pPr>
            <w:r>
              <w:rPr>
                <w:sz w:val="20"/>
                <w:szCs w:val="22"/>
              </w:rPr>
              <w:t>满意率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rPr>
                <w:sz w:val="20"/>
                <w:szCs w:val="22"/>
              </w:rPr>
            </w:pPr>
            <w:r>
              <w:rPr>
                <w:sz w:val="20"/>
                <w:szCs w:val="22"/>
              </w:rPr>
              <w:t>不断提高</w:t>
            </w:r>
          </w:p>
        </w:tc>
      </w:tr>
    </w:tbl>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的目的是加强预算绩效管理，强化支出责任，建立科学、合理的财政支出绩效评价管理体系，提高财政资金使用效益。绩效评价的对象和范围包括部门（单位）预算管理的财政性资金和上级政府对下级政府的转移支付资金。</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本次绩效评价指标的确定遵循相关性原则、重要性原则、可比性原则、系统性原则及经济性原则。评价主要依据项目绩效目标表。</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tabs>
          <w:tab w:val="left" w:pos="539"/>
        </w:tabs>
        <w:spacing w:line="570" w:lineRule="exact"/>
        <w:ind w:firstLine="640" w:firstLineChars="200"/>
        <w:rPr>
          <w:rFonts w:hint="eastAsia" w:eastAsia="黑体"/>
          <w:sz w:val="32"/>
          <w:szCs w:val="32"/>
        </w:rPr>
      </w:pPr>
      <w:r>
        <w:rPr>
          <w:rFonts w:hint="eastAsia" w:ascii="仿宋_GB2312" w:eastAsia="仿宋_GB2312"/>
          <w:sz w:val="32"/>
          <w:szCs w:val="32"/>
        </w:rPr>
        <w:t>综合评价得分</w:t>
      </w:r>
      <w:r>
        <w:rPr>
          <w:rFonts w:hint="eastAsia" w:ascii="仿宋_GB2312" w:eastAsia="仿宋_GB2312"/>
          <w:sz w:val="32"/>
          <w:szCs w:val="32"/>
          <w:lang w:val="en-US" w:eastAsia="zh-CN"/>
        </w:rPr>
        <w:t>100</w:t>
      </w:r>
      <w:r>
        <w:rPr>
          <w:rFonts w:hint="eastAsia" w:ascii="仿宋_GB2312" w:eastAsia="仿宋_GB2312"/>
          <w:sz w:val="32"/>
          <w:szCs w:val="32"/>
        </w:rPr>
        <w:t>分</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pStyle w:val="4"/>
        <w:shd w:val="clear" w:color="auto" w:fill="FFFFFF"/>
        <w:spacing w:before="0" w:beforeAutospacing="0" w:after="15" w:afterAutospacing="0"/>
        <w:ind w:firstLine="645"/>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此次评价决策指标细化到项目立项、绩效目标、资金投入。</w:t>
      </w:r>
    </w:p>
    <w:p>
      <w:pPr>
        <w:numPr>
          <w:ilvl w:val="0"/>
          <w:numId w:val="3"/>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项目过程情况。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项目实施分资金管理过程，组织实施过程。</w:t>
      </w:r>
    </w:p>
    <w:p>
      <w:pPr>
        <w:pStyle w:val="9"/>
        <w:numPr>
          <w:ilvl w:val="0"/>
          <w:numId w:val="3"/>
        </w:numPr>
        <w:shd w:val="clear" w:color="auto" w:fill="FFFFFF"/>
        <w:spacing w:before="0" w:beforeAutospacing="0" w:after="0" w:afterAutospacing="0"/>
        <w:ind w:left="0" w:leftChars="0" w:firstLine="640" w:firstLineChars="200"/>
        <w:rPr>
          <w:rStyle w:val="10"/>
          <w:rFonts w:hint="eastAsia" w:ascii="仿宋_GB2312" w:hAnsi="微软雅黑" w:eastAsia="仿宋_GB2312"/>
          <w:color w:val="333333"/>
          <w:sz w:val="30"/>
          <w:szCs w:val="30"/>
        </w:rPr>
      </w:pPr>
      <w:r>
        <w:rPr>
          <w:rFonts w:hint="eastAsia" w:ascii="仿宋_GB2312" w:eastAsia="仿宋_GB2312"/>
          <w:sz w:val="32"/>
          <w:szCs w:val="32"/>
        </w:rPr>
        <w:t>项目产出情况。</w:t>
      </w:r>
    </w:p>
    <w:p>
      <w:pPr>
        <w:pStyle w:val="9"/>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ind w:firstLine="640" w:firstLineChars="200"/>
        <w:textAlignment w:val="auto"/>
        <w:rPr>
          <w:rFonts w:ascii="仿宋_GB2312" w:eastAsia="仿宋_GB2312"/>
          <w:sz w:val="32"/>
          <w:szCs w:val="32"/>
        </w:rPr>
      </w:pPr>
      <w:r>
        <w:rPr>
          <w:rFonts w:hint="eastAsia" w:ascii="仿宋_GB2312" w:hAnsi="Times New Roman" w:eastAsia="仿宋_GB2312" w:cs="Times New Roman"/>
          <w:kern w:val="2"/>
          <w:sz w:val="32"/>
          <w:szCs w:val="32"/>
          <w:lang w:val="en-US" w:eastAsia="zh-CN" w:bidi="ar-SA"/>
        </w:rPr>
        <w:t>项目产出指标细化到产出数量、产出质量、产出时效、产出成本共计四项。</w:t>
      </w:r>
    </w:p>
    <w:p>
      <w:pPr>
        <w:numPr>
          <w:ilvl w:val="0"/>
          <w:numId w:val="3"/>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pStyle w:val="9"/>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ind w:firstLine="640" w:firstLineChars="200"/>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本项指标充分考虑项目的可持续发展，注重于本项目的经济效益、社会效益、生态效益，可持续影响效益。</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rPr>
      </w:pPr>
      <w:r>
        <w:rPr>
          <w:rFonts w:hint="eastAsia" w:eastAsia="黑体"/>
          <w:sz w:val="32"/>
          <w:szCs w:val="32"/>
          <w:lang w:val="en-US" w:eastAsia="zh-CN"/>
        </w:rPr>
        <w:t>五、</w:t>
      </w:r>
      <w:r>
        <w:rPr>
          <w:rFonts w:hint="eastAsia" w:eastAsia="黑体"/>
          <w:sz w:val="32"/>
          <w:szCs w:val="32"/>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lang w:val="en-US" w:eastAsia="zh-CN"/>
        </w:rPr>
      </w:pPr>
      <w:r>
        <w:rPr>
          <w:rFonts w:hint="eastAsia" w:ascii="仿宋_GB2312" w:hAnsi="Times New Roman" w:eastAsia="仿宋_GB2312" w:cs="Times New Roman"/>
          <w:kern w:val="2"/>
          <w:sz w:val="32"/>
          <w:szCs w:val="32"/>
          <w:lang w:val="en-US" w:eastAsia="zh-CN" w:bidi="ar-SA"/>
        </w:rPr>
        <w:t>无</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rPr>
      </w:pPr>
      <w:r>
        <w:rPr>
          <w:rFonts w:hint="eastAsia" w:eastAsia="黑体"/>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lang w:val="en-US" w:eastAsia="zh-CN"/>
        </w:rPr>
      </w:pPr>
      <w:r>
        <w:rPr>
          <w:rFonts w:hint="eastAsia" w:ascii="仿宋_GB2312" w:hAnsi="Times New Roman" w:eastAsia="仿宋_GB2312" w:cs="Times New Roman"/>
          <w:kern w:val="2"/>
          <w:sz w:val="32"/>
          <w:szCs w:val="32"/>
          <w:lang w:val="en-US" w:eastAsia="zh-CN" w:bidi="ar-SA"/>
        </w:rPr>
        <w:t>无</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0" w:leftChars="0" w:firstLine="640" w:firstLineChars="200"/>
        <w:textAlignment w:val="auto"/>
        <w:rPr>
          <w:rFonts w:hint="eastAsia" w:eastAsia="黑体"/>
          <w:sz w:val="32"/>
          <w:szCs w:val="32"/>
        </w:rPr>
      </w:pPr>
      <w:r>
        <w:rPr>
          <w:rFonts w:hint="eastAsia" w:eastAsia="黑体"/>
          <w:sz w:val="32"/>
          <w:szCs w:val="32"/>
        </w:rPr>
        <w:t>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eastAsia="黑体"/>
          <w:sz w:val="32"/>
          <w:szCs w:val="32"/>
          <w:lang w:val="en-US" w:eastAsia="zh-CN"/>
        </w:rPr>
      </w:pPr>
      <w:r>
        <w:rPr>
          <w:rFonts w:hint="eastAsia" w:ascii="仿宋_GB2312" w:hAnsi="Times New Roman" w:eastAsia="仿宋_GB2312" w:cs="Times New Roman"/>
          <w:kern w:val="2"/>
          <w:sz w:val="32"/>
          <w:szCs w:val="32"/>
          <w:lang w:val="en-US" w:eastAsia="zh-CN" w:bidi="ar-SA"/>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书宋_GBK">
    <w:altName w:val="微软雅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66E3A5"/>
    <w:multiLevelType w:val="singleLevel"/>
    <w:tmpl w:val="B166E3A5"/>
    <w:lvl w:ilvl="0" w:tentative="0">
      <w:start w:val="2"/>
      <w:numFmt w:val="chineseCounting"/>
      <w:suff w:val="nothing"/>
      <w:lvlText w:val="（%1）"/>
      <w:lvlJc w:val="left"/>
      <w:rPr>
        <w:rFonts w:hint="eastAsia"/>
      </w:rPr>
    </w:lvl>
  </w:abstractNum>
  <w:abstractNum w:abstractNumId="1">
    <w:nsid w:val="FA31B4A3"/>
    <w:multiLevelType w:val="singleLevel"/>
    <w:tmpl w:val="FA31B4A3"/>
    <w:lvl w:ilvl="0" w:tentative="0">
      <w:start w:val="6"/>
      <w:numFmt w:val="chineseCounting"/>
      <w:suff w:val="nothing"/>
      <w:lvlText w:val="%1、"/>
      <w:lvlJc w:val="left"/>
      <w:rPr>
        <w:rFonts w:hint="eastAsia"/>
      </w:rPr>
    </w:lvl>
  </w:abstractNum>
  <w:abstractNum w:abstractNumId="2">
    <w:nsid w:val="FA85BEB7"/>
    <w:multiLevelType w:val="singleLevel"/>
    <w:tmpl w:val="FA85BEB7"/>
    <w:lvl w:ilvl="0" w:tentative="0">
      <w:start w:val="2"/>
      <w:numFmt w:val="chineseCounting"/>
      <w:suff w:val="nothing"/>
      <w:lvlText w:val="（%1）"/>
      <w:lvlJc w:val="left"/>
      <w:rPr>
        <w:rFonts w:hint="eastAsia"/>
      </w:rPr>
    </w:lvl>
  </w:abstractNum>
  <w:abstractNum w:abstractNumId="3">
    <w:nsid w:val="3B09FC3D"/>
    <w:multiLevelType w:val="singleLevel"/>
    <w:tmpl w:val="3B09FC3D"/>
    <w:lvl w:ilvl="0" w:tentative="0">
      <w:start w:val="3"/>
      <w:numFmt w:val="chineseCounting"/>
      <w:suff w:val="nothing"/>
      <w:lvlText w:val="%1、"/>
      <w:lvlJc w:val="left"/>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4F066A7"/>
    <w:rsid w:val="07AF6AAA"/>
    <w:rsid w:val="0B4B4E01"/>
    <w:rsid w:val="0FD13331"/>
    <w:rsid w:val="25261316"/>
    <w:rsid w:val="3A8B04D7"/>
    <w:rsid w:val="44787793"/>
    <w:rsid w:val="4595474B"/>
    <w:rsid w:val="49D67DF9"/>
    <w:rsid w:val="4AED038C"/>
    <w:rsid w:val="4F7923AD"/>
    <w:rsid w:val="51D879E2"/>
    <w:rsid w:val="57A96182"/>
    <w:rsid w:val="63AF0C61"/>
    <w:rsid w:val="71B51E87"/>
    <w:rsid w:val="7D244D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customStyle="1" w:styleId="9">
    <w:name w:val="normal"/>
    <w:basedOn w:val="1"/>
    <w:qFormat/>
    <w:uiPriority w:val="0"/>
    <w:pPr>
      <w:widowControl/>
      <w:spacing w:before="100" w:beforeAutospacing="1" w:after="100" w:afterAutospacing="1"/>
      <w:jc w:val="left"/>
    </w:pPr>
    <w:rPr>
      <w:rFonts w:ascii="宋体" w:hAnsi="宋体" w:cs="宋体"/>
      <w:kern w:val="0"/>
      <w:sz w:val="24"/>
    </w:rPr>
  </w:style>
  <w:style w:type="character" w:customStyle="1" w:styleId="10">
    <w:name w:val="normal1"/>
    <w:basedOn w:val="6"/>
    <w:qFormat/>
    <w:uiPriority w:val="0"/>
  </w:style>
  <w:style w:type="paragraph" w:customStyle="1" w:styleId="11">
    <w:name w:val="单元格样式1"/>
    <w:basedOn w:val="1"/>
    <w:qFormat/>
    <w:uiPriority w:val="0"/>
    <w:pPr>
      <w:spacing w:before="0" w:after="0"/>
      <w:ind w:firstLine="0"/>
      <w:jc w:val="center"/>
      <w:outlineLvl w:val="9"/>
    </w:pPr>
    <w:rPr>
      <w:rFonts w:ascii="方正书宋_GBK" w:hAnsi="方正书宋_GBK" w:eastAsia="方正书宋_GBK" w:cs="方正书宋_GBK"/>
      <w:b/>
      <w:sz w:val="21"/>
    </w:rPr>
  </w:style>
  <w:style w:type="paragraph" w:customStyle="1" w:styleId="12">
    <w:name w:val="单元格样式3"/>
    <w:basedOn w:val="1"/>
    <w:qFormat/>
    <w:uiPriority w:val="0"/>
    <w:pPr>
      <w:spacing w:before="0" w:after="0"/>
      <w:ind w:firstLine="0"/>
      <w:jc w:val="center"/>
      <w:outlineLvl w:val="9"/>
    </w:pPr>
    <w:rPr>
      <w:rFonts w:ascii="方正书宋_GBK" w:hAnsi="方正书宋_GBK" w:eastAsia="方正书宋_GBK" w:cs="方正书宋_GBK"/>
      <w:sz w:val="21"/>
    </w:rPr>
  </w:style>
  <w:style w:type="paragraph" w:customStyle="1" w:styleId="13">
    <w:name w:val="单元格样式2"/>
    <w:basedOn w:val="1"/>
    <w:qFormat/>
    <w:uiPriority w:val="0"/>
    <w:pPr>
      <w:spacing w:before="0" w:after="0"/>
      <w:ind w:firstLine="0"/>
      <w:jc w:val="left"/>
      <w:outlineLvl w:val="9"/>
    </w:pPr>
    <w:rPr>
      <w:rFonts w:ascii="方正书宋_GBK" w:hAnsi="方正书宋_GBK" w:eastAsia="方正书宋_GBK" w:cs="方正书宋_GBK"/>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2024-04-24T01:10:31Z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