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科学技术局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县科技招商经费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方正仿宋简体"/>
          <w:sz w:val="32"/>
          <w:szCs w:val="32"/>
          <w:lang w:val="en-US" w:eastAsia="zh-CN"/>
        </w:rPr>
      </w:pPr>
      <w:r>
        <w:rPr>
          <w:rFonts w:hint="eastAsia" w:ascii="方正仿宋简体" w:hAnsi="方正仿宋简体" w:eastAsia="方正仿宋简体" w:cs="方正仿宋简体"/>
          <w:sz w:val="32"/>
          <w:szCs w:val="32"/>
          <w:lang w:val="en-US" w:eastAsia="zh-CN"/>
        </w:rPr>
        <w:t>根据唐山市科技局关于印发《2023年唐山市科技精准招商工作方案》（唐科字〔2022〕11号）的通知，为了更好的进行科技招商工作，按时完成科技招商目标任务,计划组织线上线下对接交流活动10场次，</w:t>
      </w:r>
      <w:r>
        <w:rPr>
          <w:rFonts w:hint="eastAsia" w:ascii="方正仿宋简体" w:hAnsi="方正仿宋简体" w:eastAsia="方正仿宋简体" w:cs="方正仿宋简体"/>
          <w:bCs/>
          <w:sz w:val="32"/>
          <w:szCs w:val="32"/>
        </w:rPr>
        <w:t>引进成果（项目）</w:t>
      </w:r>
      <w:r>
        <w:rPr>
          <w:rFonts w:hint="eastAsia" w:ascii="方正仿宋简体" w:hAnsi="方正仿宋简体" w:eastAsia="方正仿宋简体" w:cs="方正仿宋简体"/>
          <w:bCs/>
          <w:sz w:val="32"/>
          <w:szCs w:val="32"/>
          <w:lang w:val="en-US" w:eastAsia="zh-CN"/>
        </w:rPr>
        <w:t>5</w:t>
      </w:r>
      <w:r>
        <w:rPr>
          <w:rFonts w:hint="eastAsia" w:ascii="方正仿宋简体" w:hAnsi="方正仿宋简体" w:eastAsia="方正仿宋简体" w:cs="方正仿宋简体"/>
          <w:bCs/>
          <w:sz w:val="32"/>
          <w:szCs w:val="32"/>
        </w:rPr>
        <w:t>项</w:t>
      </w:r>
      <w:r>
        <w:rPr>
          <w:rFonts w:hint="eastAsia" w:ascii="方正仿宋简体" w:hAnsi="方正仿宋简体" w:eastAsia="方正仿宋简体" w:cs="方正仿宋简体"/>
          <w:bCs/>
          <w:sz w:val="32"/>
          <w:szCs w:val="32"/>
          <w:lang w:eastAsia="zh-CN"/>
        </w:rPr>
        <w:t>，</w:t>
      </w:r>
      <w:r>
        <w:rPr>
          <w:rFonts w:hint="eastAsia" w:ascii="方正仿宋简体" w:hAnsi="方正仿宋简体" w:eastAsia="方正仿宋简体" w:cs="方正仿宋简体"/>
          <w:bCs/>
          <w:sz w:val="32"/>
          <w:szCs w:val="32"/>
          <w:lang w:val="en-US" w:eastAsia="zh-CN"/>
        </w:rPr>
        <w:t>特申请县科技招商资金。</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419"/>
        <w:gridCol w:w="1420"/>
        <w:gridCol w:w="1420"/>
        <w:gridCol w:w="2840"/>
        <w:gridCol w:w="14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一级指标</w:t>
            </w:r>
          </w:p>
        </w:tc>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二级指标</w:t>
            </w:r>
          </w:p>
        </w:tc>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三级指标</w:t>
            </w:r>
          </w:p>
        </w:tc>
        <w:tc>
          <w:tcPr>
            <w:tcW w:w="1666"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绩效指标描述</w:t>
            </w:r>
          </w:p>
        </w:tc>
        <w:tc>
          <w:tcPr>
            <w:tcW w:w="833" w:type="pct"/>
            <w:vAlign w:val="center"/>
          </w:tcPr>
          <w:p>
            <w:pPr>
              <w:pStyle w:val="11"/>
              <w:keepNext w:val="0"/>
              <w:keepLines w:val="0"/>
              <w:pageBreakBefore w:val="0"/>
              <w:widowControl w:val="0"/>
              <w:kinsoku/>
              <w:wordWrap/>
              <w:overflowPunct/>
              <w:topLinePunct w:val="0"/>
              <w:autoSpaceDE/>
              <w:autoSpaceDN/>
              <w:bidi w:val="0"/>
              <w:adjustRightInd/>
              <w:snapToGrid/>
              <w:spacing w:line="240" w:lineRule="exact"/>
              <w:textAlignment w:val="auto"/>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restart"/>
            <w:vAlign w:val="center"/>
          </w:tcPr>
          <w:p>
            <w:pPr>
              <w:pStyle w:val="12"/>
              <w:keepNext w:val="0"/>
              <w:keepLines w:val="0"/>
              <w:pageBreakBefore w:val="0"/>
              <w:widowControl w:val="0"/>
              <w:kinsoku/>
              <w:wordWrap/>
              <w:overflowPunct/>
              <w:topLinePunct w:val="0"/>
              <w:autoSpaceDE/>
              <w:autoSpaceDN/>
              <w:bidi w:val="0"/>
              <w:adjustRightInd/>
              <w:snapToGrid/>
              <w:spacing w:line="240" w:lineRule="exact"/>
              <w:textAlignment w:val="auto"/>
            </w:pPr>
            <w:r>
              <w:t>产出指标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数量指标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年举办活动量</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年举办活动量</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组织线上线下对接活动10场次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质量指标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质量指标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质量指标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对接引进科技成果（项目）5个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时效指标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及时性</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及时性</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按照计划开展活动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成本指标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资金成本</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资金成本</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restart"/>
            <w:vAlign w:val="center"/>
          </w:tcPr>
          <w:p>
            <w:pPr>
              <w:pStyle w:val="12"/>
              <w:keepNext w:val="0"/>
              <w:keepLines w:val="0"/>
              <w:pageBreakBefore w:val="0"/>
              <w:widowControl w:val="0"/>
              <w:kinsoku/>
              <w:wordWrap/>
              <w:overflowPunct/>
              <w:topLinePunct w:val="0"/>
              <w:autoSpaceDE/>
              <w:autoSpaceDN/>
              <w:bidi w:val="0"/>
              <w:adjustRightInd/>
              <w:snapToGrid/>
              <w:spacing w:line="240" w:lineRule="exact"/>
              <w:textAlignment w:val="auto"/>
            </w:pPr>
            <w:r>
              <w:t>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经济效益指标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经济效益指标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经济效益指标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对接引进科技成果（项目）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社会效益指标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社会效益指标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社会效益指标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集聚更多科技成果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生态效益指标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生态效益指标</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生态效益指标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不断转好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pPr>
              <w:keepNext w:val="0"/>
              <w:keepLines w:val="0"/>
              <w:pageBreakBefore w:val="0"/>
              <w:widowControl w:val="0"/>
              <w:kinsoku/>
              <w:wordWrap/>
              <w:overflowPunct/>
              <w:topLinePunct w:val="0"/>
              <w:autoSpaceDE/>
              <w:autoSpaceDN/>
              <w:bidi w:val="0"/>
              <w:adjustRightInd/>
              <w:snapToGrid/>
              <w:spacing w:line="240" w:lineRule="exact"/>
              <w:textAlignment w:val="auto"/>
            </w:pP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可持续影响指标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可持续性</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可持续性</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加强对接合作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Align w:val="center"/>
          </w:tcPr>
          <w:p>
            <w:pPr>
              <w:pStyle w:val="12"/>
              <w:keepNext w:val="0"/>
              <w:keepLines w:val="0"/>
              <w:pageBreakBefore w:val="0"/>
              <w:widowControl w:val="0"/>
              <w:kinsoku/>
              <w:wordWrap/>
              <w:overflowPunct/>
              <w:topLinePunct w:val="0"/>
              <w:autoSpaceDE/>
              <w:autoSpaceDN/>
              <w:bidi w:val="0"/>
              <w:adjustRightInd/>
              <w:snapToGrid/>
              <w:spacing w:line="240" w:lineRule="exact"/>
              <w:textAlignment w:val="auto"/>
            </w:pPr>
            <w:r>
              <w:t>满意度指标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服务对象满意度指标</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企业满意度</w:t>
            </w:r>
          </w:p>
        </w:tc>
        <w:tc>
          <w:tcPr>
            <w:tcW w:w="1666"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企业满意度</w:t>
            </w:r>
          </w:p>
        </w:tc>
        <w:tc>
          <w:tcPr>
            <w:tcW w:w="833" w:type="pct"/>
            <w:vAlign w:val="center"/>
          </w:tcPr>
          <w:p>
            <w:pPr>
              <w:pStyle w:val="13"/>
              <w:keepNext w:val="0"/>
              <w:keepLines w:val="0"/>
              <w:pageBreakBefore w:val="0"/>
              <w:widowControl w:val="0"/>
              <w:kinsoku/>
              <w:wordWrap/>
              <w:overflowPunct/>
              <w:topLinePunct w:val="0"/>
              <w:autoSpaceDE/>
              <w:autoSpaceDN/>
              <w:bidi w:val="0"/>
              <w:adjustRightInd/>
              <w:snapToGrid/>
              <w:spacing w:line="240" w:lineRule="exact"/>
              <w:textAlignment w:val="auto"/>
            </w:pPr>
            <w:r>
              <w:t>不断提高</w:t>
            </w:r>
          </w:p>
        </w:tc>
      </w:tr>
    </w:tbl>
    <w:p>
      <w:pPr>
        <w:numPr>
          <w:numId w:val="0"/>
        </w:numPr>
        <w:spacing w:line="600" w:lineRule="exact"/>
        <w:rPr>
          <w:rFonts w:hint="eastAsia"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w:t>
      </w:r>
      <w:bookmarkStart w:id="0" w:name="_GoBack"/>
      <w:bookmarkEnd w:id="0"/>
      <w:r>
        <w:rPr>
          <w:rFonts w:hint="eastAsia" w:ascii="仿宋_GB2312" w:eastAsia="仿宋_GB2312"/>
          <w:sz w:val="32"/>
          <w:szCs w:val="32"/>
        </w:rPr>
        <w:t>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本次绩效评价指标的确定遵循相关性原则、重要性原则、可比性原则、系统性原则及经济性原则。评价主要依据项目绩效目标表。</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tabs>
          <w:tab w:val="left" w:pos="539"/>
        </w:tabs>
        <w:spacing w:line="570" w:lineRule="exact"/>
        <w:ind w:firstLine="640" w:firstLineChars="200"/>
        <w:rPr>
          <w:rFonts w:hint="eastAsia" w:eastAsia="黑体"/>
          <w:sz w:val="32"/>
          <w:szCs w:val="32"/>
        </w:rPr>
      </w:pPr>
      <w:r>
        <w:rPr>
          <w:rFonts w:hint="eastAsia" w:ascii="仿宋_GB2312" w:eastAsia="仿宋_GB2312"/>
          <w:sz w:val="32"/>
          <w:szCs w:val="32"/>
        </w:rPr>
        <w:t>综合评价得分</w:t>
      </w:r>
      <w:r>
        <w:rPr>
          <w:rFonts w:hint="eastAsia" w:ascii="仿宋_GB2312" w:eastAsia="仿宋_GB2312"/>
          <w:sz w:val="32"/>
          <w:szCs w:val="32"/>
          <w:lang w:val="en-US" w:eastAsia="zh-CN"/>
        </w:rPr>
        <w:t>100</w:t>
      </w:r>
      <w:r>
        <w:rPr>
          <w:rFonts w:hint="eastAsia" w:ascii="仿宋_GB2312" w:eastAsia="仿宋_GB2312"/>
          <w:sz w:val="32"/>
          <w:szCs w:val="32"/>
        </w:rPr>
        <w:t>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pStyle w:val="4"/>
        <w:shd w:val="clear" w:color="auto" w:fill="FFFFFF"/>
        <w:spacing w:before="0" w:beforeAutospacing="0" w:after="15" w:afterAutospacing="0"/>
        <w:ind w:firstLine="645"/>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此次评价决策指标细化到项目立项、绩效目标、资金投入。</w:t>
      </w:r>
    </w:p>
    <w:p>
      <w:pPr>
        <w:numPr>
          <w:ilvl w:val="0"/>
          <w:numId w:val="4"/>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项目实施分资金管理过程，组织实施过程。</w:t>
      </w:r>
    </w:p>
    <w:p>
      <w:pPr>
        <w:pStyle w:val="9"/>
        <w:numPr>
          <w:ilvl w:val="0"/>
          <w:numId w:val="4"/>
        </w:numPr>
        <w:shd w:val="clear" w:color="auto" w:fill="FFFFFF"/>
        <w:spacing w:before="0" w:beforeAutospacing="0" w:after="0" w:afterAutospacing="0"/>
        <w:ind w:left="0" w:leftChars="0" w:firstLine="640" w:firstLineChars="200"/>
        <w:rPr>
          <w:rStyle w:val="10"/>
          <w:rFonts w:hint="eastAsia" w:ascii="仿宋_GB2312" w:hAnsi="微软雅黑" w:eastAsia="仿宋_GB2312"/>
          <w:color w:val="333333"/>
          <w:sz w:val="30"/>
          <w:szCs w:val="30"/>
        </w:rPr>
      </w:pPr>
      <w:r>
        <w:rPr>
          <w:rFonts w:hint="eastAsia" w:ascii="仿宋_GB2312" w:eastAsia="仿宋_GB2312"/>
          <w:sz w:val="32"/>
          <w:szCs w:val="32"/>
        </w:rPr>
        <w:t>项目产出情况。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项目产出指标细化到产出数量、产出质量、产出时效、产出成本共计四项。</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本项指标充分考虑项目的可持续发展，注重于本项目的经济效益、社会效益、生态效益，可持续影响效益。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lang w:val="en-US" w:eastAsia="zh-CN"/>
        </w:rPr>
        <w:t>五、</w:t>
      </w:r>
      <w:r>
        <w:rPr>
          <w:rFonts w:hint="eastAsia"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panose1 w:val="03000509000000000000"/>
    <w:charset w:val="86"/>
    <w:family w:val="auto"/>
    <w:pitch w:val="default"/>
    <w:sig w:usb0="00000001" w:usb1="080E0000" w:usb2="00000000" w:usb3="00000000" w:csb0="00040000" w:csb1="00000000"/>
  </w:font>
  <w:font w:name="方正书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6E3A5"/>
    <w:multiLevelType w:val="singleLevel"/>
    <w:tmpl w:val="B166E3A5"/>
    <w:lvl w:ilvl="0" w:tentative="0">
      <w:start w:val="2"/>
      <w:numFmt w:val="chineseCounting"/>
      <w:suff w:val="nothing"/>
      <w:lvlText w:val="（%1）"/>
      <w:lvlJc w:val="left"/>
      <w:rPr>
        <w:rFonts w:hint="eastAsia"/>
      </w:rPr>
    </w:lvl>
  </w:abstractNum>
  <w:abstractNum w:abstractNumId="1">
    <w:nsid w:val="FA31B4A3"/>
    <w:multiLevelType w:val="singleLevel"/>
    <w:tmpl w:val="FA31B4A3"/>
    <w:lvl w:ilvl="0" w:tentative="0">
      <w:start w:val="6"/>
      <w:numFmt w:val="chineseCounting"/>
      <w:suff w:val="nothing"/>
      <w:lvlText w:val="%1、"/>
      <w:lvlJc w:val="left"/>
      <w:rPr>
        <w:rFonts w:hint="eastAsia"/>
      </w:rPr>
    </w:lvl>
  </w:abstractNum>
  <w:abstractNum w:abstractNumId="2">
    <w:nsid w:val="FA85BEB7"/>
    <w:multiLevelType w:val="singleLevel"/>
    <w:tmpl w:val="FA85BEB7"/>
    <w:lvl w:ilvl="0" w:tentative="0">
      <w:start w:val="2"/>
      <w:numFmt w:val="chineseCounting"/>
      <w:suff w:val="nothing"/>
      <w:lvlText w:val="（%1）"/>
      <w:lvlJc w:val="left"/>
      <w:rPr>
        <w:rFonts w:hint="eastAsia"/>
      </w:rPr>
    </w:lvl>
  </w:abstractNum>
  <w:abstractNum w:abstractNumId="3">
    <w:nsid w:val="1ED2E312"/>
    <w:multiLevelType w:val="singleLevel"/>
    <w:tmpl w:val="1ED2E312"/>
    <w:lvl w:ilvl="0" w:tentative="0">
      <w:start w:val="2"/>
      <w:numFmt w:val="chineseCounting"/>
      <w:suff w:val="nothing"/>
      <w:lvlText w:val="（%1）"/>
      <w:lvlJc w:val="left"/>
      <w:rPr>
        <w:rFonts w:hint="eastAsia"/>
      </w:rPr>
    </w:lvl>
  </w:abstractNum>
  <w:abstractNum w:abstractNumId="4">
    <w:nsid w:val="3B09FC3D"/>
    <w:multiLevelType w:val="singleLevel"/>
    <w:tmpl w:val="3B09FC3D"/>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AF6AAA"/>
    <w:rsid w:val="0B4B4E01"/>
    <w:rsid w:val="0FD13331"/>
    <w:rsid w:val="13EA3084"/>
    <w:rsid w:val="25261316"/>
    <w:rsid w:val="44787793"/>
    <w:rsid w:val="44EA2142"/>
    <w:rsid w:val="4595474B"/>
    <w:rsid w:val="49D67DF9"/>
    <w:rsid w:val="4AED038C"/>
    <w:rsid w:val="4F7923AD"/>
    <w:rsid w:val="51D879E2"/>
    <w:rsid w:val="63AF0C61"/>
    <w:rsid w:val="6EB16D17"/>
    <w:rsid w:val="7D24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normal1"/>
    <w:basedOn w:val="6"/>
    <w:qFormat/>
    <w:uiPriority w:val="0"/>
  </w:style>
  <w:style w:type="paragraph" w:customStyle="1" w:styleId="11">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2">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3">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2024-04-24T02:35:33Z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