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国家级创新型县建设方案编制经费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rPr>
        <w:t>科技部对我县申报的建设方案提出了修改指导意见，要求进一步提升完善创新型县建设方案，建立玉田县科技创新特色模式。建设方案的修改提升工作，需要聘请高水平的第三方专业机构进行编制</w:t>
      </w:r>
      <w:r>
        <w:rPr>
          <w:rFonts w:hint="eastAsia" w:ascii="仿宋_GB2312" w:eastAsia="仿宋_GB2312"/>
          <w:sz w:val="32"/>
          <w:szCs w:val="32"/>
          <w:lang w:eastAsia="zh-CN"/>
        </w:rPr>
        <w:t>。</w:t>
      </w:r>
      <w:bookmarkStart w:id="0" w:name="_GoBack"/>
      <w:bookmarkEnd w:id="0"/>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tbl>
      <w:tblPr>
        <w:tblpPr w:leftFromText="180" w:rightFromText="180" w:vertAnchor="text" w:horzAnchor="page" w:tblpX="1800" w:tblpY="709"/>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968"/>
        <w:gridCol w:w="1572"/>
        <w:gridCol w:w="1120"/>
        <w:gridCol w:w="1120"/>
        <w:gridCol w:w="818"/>
        <w:gridCol w:w="65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restart"/>
            <w:tcBorders>
              <w:tl2br w:val="nil"/>
              <w:tr2bl w:val="nil"/>
            </w:tcBorders>
            <w:shd w:val="clear"/>
            <w:noWrap/>
            <w:vAlign w:val="top"/>
          </w:tcPr>
          <w:p>
            <w:pPr>
              <w:keepNext w:val="0"/>
              <w:keepLines w:val="0"/>
              <w:widowControl/>
              <w:suppressLineNumbers w:val="0"/>
              <w:jc w:val="center"/>
              <w:textAlignment w:val="top"/>
              <w:rPr>
                <w:rFonts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一级指标</w:t>
            </w:r>
          </w:p>
        </w:tc>
        <w:tc>
          <w:tcPr>
            <w:tcW w:w="922" w:type="pct"/>
            <w:vMerge w:val="restar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二级指标</w:t>
            </w:r>
          </w:p>
        </w:tc>
        <w:tc>
          <w:tcPr>
            <w:tcW w:w="657" w:type="pct"/>
            <w:vMerge w:val="restar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三级指标</w:t>
            </w:r>
          </w:p>
        </w:tc>
        <w:tc>
          <w:tcPr>
            <w:tcW w:w="657" w:type="pct"/>
            <w:vMerge w:val="restar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指标说明</w:t>
            </w:r>
          </w:p>
        </w:tc>
        <w:tc>
          <w:tcPr>
            <w:tcW w:w="2195" w:type="pct"/>
            <w:gridSpan w:val="3"/>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65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65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479" w:type="pc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符号</w:t>
            </w:r>
          </w:p>
        </w:tc>
        <w:tc>
          <w:tcPr>
            <w:tcW w:w="382" w:type="pc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值</w:t>
            </w:r>
          </w:p>
        </w:tc>
        <w:tc>
          <w:tcPr>
            <w:tcW w:w="1333" w:type="pc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单位（文字描述）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restar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产出指标</w:t>
            </w: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出具报告数量</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出具报告数量</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w:t>
            </w:r>
          </w:p>
        </w:tc>
        <w:tc>
          <w:tcPr>
            <w:tcW w:w="382"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2</w:t>
            </w: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质量指标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质量指标</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形成申报材料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及时性</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及时性</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按时形成申报材料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资金成本</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资金成本</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w:t>
            </w:r>
          </w:p>
        </w:tc>
        <w:tc>
          <w:tcPr>
            <w:tcW w:w="382"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29</w:t>
            </w: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CellMar>
            <w:top w:w="0" w:type="dxa"/>
            <w:left w:w="108" w:type="dxa"/>
            <w:bottom w:w="0" w:type="dxa"/>
            <w:right w:w="108" w:type="dxa"/>
          </w:tblCellMar>
        </w:tblPrEx>
        <w:trPr>
          <w:trHeight w:val="450" w:hRule="atLeast"/>
        </w:trPr>
        <w:tc>
          <w:tcPr>
            <w:tcW w:w="567" w:type="pct"/>
            <w:vMerge w:val="restar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效益指标</w:t>
            </w: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资金使用效益</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资金使用效益</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形成建设申报材料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提供优质服务</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提供优质服务</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按时形成建设申报材料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生态效益指标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生态效益指标</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7" w:type="pct"/>
            <w:vMerge w:val="continue"/>
            <w:tcBorders>
              <w:tl2br w:val="nil"/>
              <w:tr2bl w:val="nil"/>
            </w:tcBorders>
            <w:shd w:val="clear"/>
            <w:noWrap/>
            <w:vAlign w:val="top"/>
          </w:tcPr>
          <w:p>
            <w:pPr>
              <w:jc w:val="center"/>
              <w:rPr>
                <w:rFonts w:hint="default" w:ascii="Calibri" w:hAnsi="Calibri" w:eastAsia="宋体" w:cs="Calibri"/>
                <w:i w:val="0"/>
                <w:iCs w:val="0"/>
                <w:color w:val="000000"/>
                <w:sz w:val="22"/>
                <w:szCs w:val="22"/>
                <w:u w:val="none"/>
              </w:rPr>
            </w:pP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结果应用</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结果应用</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文字描述</w:t>
            </w:r>
          </w:p>
        </w:tc>
        <w:tc>
          <w:tcPr>
            <w:tcW w:w="382" w:type="pct"/>
            <w:tcBorders>
              <w:tl2br w:val="nil"/>
              <w:tr2bl w:val="nil"/>
            </w:tcBorders>
            <w:shd w:val="clear"/>
            <w:noWrap/>
            <w:vAlign w:val="top"/>
          </w:tcPr>
          <w:p>
            <w:pPr>
              <w:jc w:val="left"/>
              <w:rPr>
                <w:rFonts w:hint="default" w:ascii="Calibri" w:hAnsi="Calibri" w:eastAsia="宋体" w:cs="Calibri"/>
                <w:i w:val="0"/>
                <w:iCs w:val="0"/>
                <w:color w:val="000000"/>
                <w:sz w:val="22"/>
                <w:szCs w:val="22"/>
                <w:u w:val="none"/>
              </w:rPr>
            </w:pP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应用形成的申报材料进行项目申报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7" w:type="pct"/>
            <w:tcBorders>
              <w:tl2br w:val="nil"/>
              <w:tr2bl w:val="nil"/>
            </w:tcBorders>
            <w:shd w:val="clear"/>
            <w:noWrap/>
            <w:vAlign w:val="top"/>
          </w:tcPr>
          <w:p>
            <w:pPr>
              <w:keepNext w:val="0"/>
              <w:keepLines w:val="0"/>
              <w:widowControl/>
              <w:suppressLineNumbers w:val="0"/>
              <w:jc w:val="center"/>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满意度指标</w:t>
            </w:r>
          </w:p>
        </w:tc>
        <w:tc>
          <w:tcPr>
            <w:tcW w:w="922" w:type="pct"/>
            <w:tcBorders>
              <w:tl2br w:val="nil"/>
              <w:tr2bl w:val="nil"/>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服务对象满意度指标</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服务满意度</w:t>
            </w:r>
          </w:p>
        </w:tc>
        <w:tc>
          <w:tcPr>
            <w:tcW w:w="657"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服务满意度</w:t>
            </w:r>
          </w:p>
        </w:tc>
        <w:tc>
          <w:tcPr>
            <w:tcW w:w="479"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w:t>
            </w:r>
          </w:p>
        </w:tc>
        <w:tc>
          <w:tcPr>
            <w:tcW w:w="382"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100</w:t>
            </w:r>
          </w:p>
        </w:tc>
        <w:tc>
          <w:tcPr>
            <w:tcW w:w="1333" w:type="pct"/>
            <w:tcBorders>
              <w:tl2br w:val="nil"/>
              <w:tr2bl w:val="nil"/>
            </w:tcBorders>
            <w:shd w:val="clear"/>
            <w:noWrap/>
            <w:vAlign w:val="top"/>
          </w:tcPr>
          <w:p>
            <w:pPr>
              <w:keepNext w:val="0"/>
              <w:keepLines w:val="0"/>
              <w:widowControl/>
              <w:suppressLineNumbers w:val="0"/>
              <w:jc w:val="left"/>
              <w:textAlignment w:val="top"/>
              <w:rPr>
                <w:rFonts w:hint="default" w:ascii="Calibri" w:hAnsi="Calibri" w:eastAsia="宋体" w:cs="Calibri"/>
                <w:i w:val="0"/>
                <w:iCs w:val="0"/>
                <w:color w:val="000000"/>
                <w:sz w:val="22"/>
                <w:szCs w:val="22"/>
                <w:u w:val="none"/>
              </w:rPr>
            </w:pPr>
            <w:r>
              <w:rPr>
                <w:rFonts w:hint="default" w:ascii="Calibri" w:hAnsi="Calibri" w:eastAsia="宋体" w:cs="Calibri"/>
                <w:i w:val="0"/>
                <w:iCs w:val="0"/>
                <w:color w:val="000000"/>
                <w:kern w:val="0"/>
                <w:sz w:val="22"/>
                <w:szCs w:val="22"/>
                <w:u w:val="none"/>
                <w:bdr w:val="none" w:color="auto" w:sz="0" w:space="0"/>
                <w:lang w:val="en-US" w:eastAsia="zh-CN" w:bidi="ar"/>
              </w:rPr>
              <w:t>百分比</w:t>
            </w:r>
          </w:p>
        </w:tc>
      </w:tr>
    </w:tbl>
    <w:p>
      <w:pPr>
        <w:spacing w:line="600" w:lineRule="exact"/>
        <w:ind w:firstLine="640" w:firstLineChars="200"/>
        <w:rPr>
          <w:rFonts w:hint="eastAsia"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2"/>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3"/>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9"/>
        <w:numPr>
          <w:ilvl w:val="0"/>
          <w:numId w:val="3"/>
        </w:numPr>
        <w:shd w:val="clear" w:color="auto" w:fill="FFFFFF"/>
        <w:spacing w:before="0" w:beforeAutospacing="0" w:after="0" w:afterAutospacing="0"/>
        <w:ind w:left="0" w:leftChars="0" w:firstLine="640" w:firstLineChars="200"/>
        <w:rPr>
          <w:rStyle w:val="10"/>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3"/>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本项指标充分考虑项目的可持续发展，注重于本项目的经济效益、社会效益、生态效益，可持续影响效益。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FA31B4A3"/>
    <w:multiLevelType w:val="singleLevel"/>
    <w:tmpl w:val="FA31B4A3"/>
    <w:lvl w:ilvl="0" w:tentative="0">
      <w:start w:val="6"/>
      <w:numFmt w:val="chineseCounting"/>
      <w:suff w:val="nothing"/>
      <w:lvlText w:val="%1、"/>
      <w:lvlJc w:val="left"/>
      <w:rPr>
        <w:rFonts w:hint="eastAsia"/>
      </w:rPr>
    </w:lvl>
  </w:abstractNum>
  <w:abstractNum w:abstractNumId="2">
    <w:nsid w:val="FA85BEB7"/>
    <w:multiLevelType w:val="singleLevel"/>
    <w:tmpl w:val="FA85BEB7"/>
    <w:lvl w:ilvl="0" w:tentative="0">
      <w:start w:val="2"/>
      <w:numFmt w:val="chineseCounting"/>
      <w:suff w:val="nothing"/>
      <w:lvlText w:val="（%1）"/>
      <w:lvlJc w:val="left"/>
      <w:rPr>
        <w:rFonts w:hint="eastAsia"/>
      </w:rPr>
    </w:lvl>
  </w:abstractNum>
  <w:abstractNum w:abstractNumId="3">
    <w:nsid w:val="3B09FC3D"/>
    <w:multiLevelType w:val="singleLevel"/>
    <w:tmpl w:val="3B09FC3D"/>
    <w:lvl w:ilvl="0" w:tentative="0">
      <w:start w:val="3"/>
      <w:numFmt w:val="chineseCounting"/>
      <w:suff w:val="nothing"/>
      <w:lvlText w:val="%1、"/>
      <w:lvlJc w:val="left"/>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AF6AAA"/>
    <w:rsid w:val="0B4B4E01"/>
    <w:rsid w:val="0FD13331"/>
    <w:rsid w:val="25261316"/>
    <w:rsid w:val="28DC197A"/>
    <w:rsid w:val="44787793"/>
    <w:rsid w:val="4595474B"/>
    <w:rsid w:val="49D67DF9"/>
    <w:rsid w:val="4AED038C"/>
    <w:rsid w:val="4CC15152"/>
    <w:rsid w:val="4F7923AD"/>
    <w:rsid w:val="51D879E2"/>
    <w:rsid w:val="63AF0C61"/>
    <w:rsid w:val="6C8A28DD"/>
    <w:rsid w:val="7D24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normal1"/>
    <w:basedOn w:val="6"/>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12</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2024-04-23T09:22:19Z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