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u w:val="single"/>
          <w:lang w:val="en-US" w:eastAsia="zh-CN"/>
        </w:rPr>
        <w:t xml:space="preserve"> 科学技术局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冀财教[2022]176号 2023年技术创新引导专项资金预算 </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lang w:val="en-US" w:eastAsia="zh-CN"/>
        </w:rPr>
        <w:t>按照</w:t>
      </w:r>
      <w:r>
        <w:rPr>
          <w:rFonts w:hint="eastAsia" w:ascii="仿宋_GB2312" w:eastAsia="仿宋_GB2312"/>
          <w:sz w:val="32"/>
          <w:szCs w:val="32"/>
          <w:lang w:eastAsia="zh-CN"/>
        </w:rPr>
        <w:t>《</w:t>
      </w:r>
      <w:r>
        <w:rPr>
          <w:rFonts w:hint="eastAsia" w:ascii="仿宋_GB2312" w:eastAsia="仿宋_GB2312"/>
          <w:sz w:val="32"/>
          <w:szCs w:val="32"/>
        </w:rPr>
        <w:t>关于提前下达2023年技术创新引导专项资金预算的通知</w:t>
      </w:r>
      <w:r>
        <w:rPr>
          <w:rFonts w:hint="eastAsia" w:ascii="仿宋_GB2312" w:eastAsia="仿宋_GB2312"/>
          <w:sz w:val="32"/>
          <w:szCs w:val="32"/>
          <w:lang w:eastAsia="zh-CN"/>
        </w:rPr>
        <w:t>》（冀财教〔2022〕176号）</w:t>
      </w:r>
      <w:r>
        <w:rPr>
          <w:rFonts w:hint="eastAsia" w:ascii="仿宋_GB2312" w:eastAsia="仿宋_GB2312"/>
          <w:sz w:val="32"/>
          <w:szCs w:val="32"/>
          <w:lang w:val="en-US" w:eastAsia="zh-CN"/>
        </w:rPr>
        <w:t>文件要求，下达省科学技术奖奖金。</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w:t>
      </w:r>
    </w:p>
    <w:tbl>
      <w:tblPr>
        <w:tblStyle w:val="5"/>
        <w:tblW w:w="4998"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1419"/>
        <w:gridCol w:w="1420"/>
        <w:gridCol w:w="1420"/>
        <w:gridCol w:w="2840"/>
        <w:gridCol w:w="142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833" w:type="pct"/>
            <w:vAlign w:val="center"/>
          </w:tcPr>
          <w:p>
            <w:pPr>
              <w:pStyle w:val="11"/>
            </w:pPr>
            <w:bookmarkStart w:id="0" w:name="_GoBack"/>
            <w:r>
              <w:t>一级指标</w:t>
            </w:r>
          </w:p>
        </w:tc>
        <w:tc>
          <w:tcPr>
            <w:tcW w:w="833" w:type="pct"/>
            <w:vAlign w:val="center"/>
          </w:tcPr>
          <w:p>
            <w:pPr>
              <w:pStyle w:val="11"/>
            </w:pPr>
            <w:r>
              <w:t>二级指标</w:t>
            </w:r>
          </w:p>
        </w:tc>
        <w:tc>
          <w:tcPr>
            <w:tcW w:w="833" w:type="pct"/>
            <w:vAlign w:val="center"/>
          </w:tcPr>
          <w:p>
            <w:pPr>
              <w:pStyle w:val="11"/>
            </w:pPr>
            <w:r>
              <w:t>三级指标</w:t>
            </w:r>
          </w:p>
        </w:tc>
        <w:tc>
          <w:tcPr>
            <w:tcW w:w="1666" w:type="pct"/>
            <w:vAlign w:val="center"/>
          </w:tcPr>
          <w:p>
            <w:pPr>
              <w:pStyle w:val="11"/>
            </w:pPr>
            <w:r>
              <w:t>绩效指标描述</w:t>
            </w:r>
          </w:p>
        </w:tc>
        <w:tc>
          <w:tcPr>
            <w:tcW w:w="833" w:type="pct"/>
            <w:vAlign w:val="center"/>
          </w:tcPr>
          <w:p>
            <w:pPr>
              <w:pStyle w:val="11"/>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pPr>
            <w:r>
              <w:t>产出指标</w:t>
            </w:r>
          </w:p>
        </w:tc>
        <w:tc>
          <w:tcPr>
            <w:tcW w:w="833" w:type="pct"/>
            <w:vAlign w:val="center"/>
          </w:tcPr>
          <w:p>
            <w:pPr>
              <w:pStyle w:val="13"/>
            </w:pPr>
            <w:r>
              <w:t>数量指标</w:t>
            </w:r>
          </w:p>
        </w:tc>
        <w:tc>
          <w:tcPr>
            <w:tcW w:w="833" w:type="pct"/>
            <w:vAlign w:val="center"/>
          </w:tcPr>
          <w:p>
            <w:pPr>
              <w:pStyle w:val="13"/>
            </w:pPr>
            <w:r>
              <w:t>获奖作品数量</w:t>
            </w:r>
          </w:p>
        </w:tc>
        <w:tc>
          <w:tcPr>
            <w:tcW w:w="1666" w:type="pct"/>
            <w:vAlign w:val="center"/>
          </w:tcPr>
          <w:p>
            <w:pPr>
              <w:pStyle w:val="13"/>
            </w:pPr>
            <w:r>
              <w:t>获奖作品数量</w:t>
            </w:r>
          </w:p>
        </w:tc>
        <w:tc>
          <w:tcPr>
            <w:tcW w:w="833" w:type="pct"/>
            <w:vAlign w:val="center"/>
          </w:tcPr>
          <w:p>
            <w:pPr>
              <w:pStyle w:val="13"/>
            </w:pPr>
            <w:r>
              <w:t>1项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质量指标</w:t>
            </w:r>
          </w:p>
        </w:tc>
        <w:tc>
          <w:tcPr>
            <w:tcW w:w="833" w:type="pct"/>
            <w:vAlign w:val="center"/>
          </w:tcPr>
          <w:p>
            <w:pPr>
              <w:pStyle w:val="13"/>
            </w:pPr>
            <w:r>
              <w:t>科技新成果完成数量</w:t>
            </w:r>
          </w:p>
        </w:tc>
        <w:tc>
          <w:tcPr>
            <w:tcW w:w="1666" w:type="pct"/>
            <w:vAlign w:val="center"/>
          </w:tcPr>
          <w:p>
            <w:pPr>
              <w:pStyle w:val="13"/>
            </w:pPr>
            <w:r>
              <w:t>研制新产品数量</w:t>
            </w:r>
          </w:p>
        </w:tc>
        <w:tc>
          <w:tcPr>
            <w:tcW w:w="833" w:type="pct"/>
            <w:vAlign w:val="center"/>
          </w:tcPr>
          <w:p>
            <w:pPr>
              <w:pStyle w:val="13"/>
            </w:pPr>
            <w:r>
              <w:t>2个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时效指标</w:t>
            </w:r>
          </w:p>
        </w:tc>
        <w:tc>
          <w:tcPr>
            <w:tcW w:w="833" w:type="pct"/>
            <w:vAlign w:val="center"/>
          </w:tcPr>
          <w:p>
            <w:pPr>
              <w:pStyle w:val="13"/>
            </w:pPr>
            <w:r>
              <w:t>项目资金支付时间</w:t>
            </w:r>
          </w:p>
        </w:tc>
        <w:tc>
          <w:tcPr>
            <w:tcW w:w="1666" w:type="pct"/>
            <w:vAlign w:val="center"/>
          </w:tcPr>
          <w:p>
            <w:pPr>
              <w:pStyle w:val="13"/>
            </w:pPr>
            <w:r>
              <w:t>项目资金支付时间</w:t>
            </w:r>
          </w:p>
        </w:tc>
        <w:tc>
          <w:tcPr>
            <w:tcW w:w="833" w:type="pct"/>
            <w:vAlign w:val="center"/>
          </w:tcPr>
          <w:p>
            <w:pPr>
              <w:pStyle w:val="13"/>
            </w:pPr>
            <w:r>
              <w:t>尽快支付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成本指标</w:t>
            </w:r>
          </w:p>
        </w:tc>
        <w:tc>
          <w:tcPr>
            <w:tcW w:w="833" w:type="pct"/>
            <w:vAlign w:val="center"/>
          </w:tcPr>
          <w:p>
            <w:pPr>
              <w:pStyle w:val="13"/>
            </w:pPr>
            <w:r>
              <w:t>奖补资金总金额</w:t>
            </w:r>
          </w:p>
        </w:tc>
        <w:tc>
          <w:tcPr>
            <w:tcW w:w="1666" w:type="pct"/>
            <w:vAlign w:val="center"/>
          </w:tcPr>
          <w:p>
            <w:pPr>
              <w:pStyle w:val="13"/>
            </w:pPr>
            <w:r>
              <w:t>奖补资金总金额</w:t>
            </w:r>
          </w:p>
        </w:tc>
        <w:tc>
          <w:tcPr>
            <w:tcW w:w="833" w:type="pct"/>
            <w:vAlign w:val="center"/>
          </w:tcPr>
          <w:p>
            <w:pPr>
              <w:pStyle w:val="13"/>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restart"/>
            <w:vAlign w:val="center"/>
          </w:tcPr>
          <w:p>
            <w:pPr>
              <w:pStyle w:val="12"/>
            </w:pPr>
            <w:r>
              <w:t>效益指标</w:t>
            </w:r>
          </w:p>
        </w:tc>
        <w:tc>
          <w:tcPr>
            <w:tcW w:w="833" w:type="pct"/>
            <w:vAlign w:val="center"/>
          </w:tcPr>
          <w:p>
            <w:pPr>
              <w:pStyle w:val="13"/>
            </w:pPr>
            <w:r>
              <w:t>经济效益指标</w:t>
            </w:r>
          </w:p>
        </w:tc>
        <w:tc>
          <w:tcPr>
            <w:tcW w:w="833" w:type="pct"/>
            <w:vAlign w:val="center"/>
          </w:tcPr>
          <w:p>
            <w:pPr>
              <w:pStyle w:val="13"/>
            </w:pPr>
            <w:r>
              <w:t>技术指标</w:t>
            </w:r>
          </w:p>
        </w:tc>
        <w:tc>
          <w:tcPr>
            <w:tcW w:w="1666" w:type="pct"/>
            <w:vAlign w:val="center"/>
          </w:tcPr>
          <w:p>
            <w:pPr>
              <w:pStyle w:val="13"/>
            </w:pPr>
            <w:r>
              <w:t>技术指标</w:t>
            </w:r>
          </w:p>
        </w:tc>
        <w:tc>
          <w:tcPr>
            <w:tcW w:w="833" w:type="pct"/>
            <w:vAlign w:val="center"/>
          </w:tcPr>
          <w:p>
            <w:pPr>
              <w:pStyle w:val="13"/>
            </w:pPr>
            <w:r>
              <w:t>达到国际先进水平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社会效益指标</w:t>
            </w:r>
          </w:p>
        </w:tc>
        <w:tc>
          <w:tcPr>
            <w:tcW w:w="833" w:type="pct"/>
            <w:vAlign w:val="center"/>
          </w:tcPr>
          <w:p>
            <w:pPr>
              <w:pStyle w:val="13"/>
            </w:pPr>
            <w:r>
              <w:t>提供优质服务</w:t>
            </w:r>
          </w:p>
        </w:tc>
        <w:tc>
          <w:tcPr>
            <w:tcW w:w="1666" w:type="pct"/>
            <w:vAlign w:val="center"/>
          </w:tcPr>
          <w:p>
            <w:pPr>
              <w:pStyle w:val="13"/>
            </w:pPr>
            <w:r>
              <w:t>提供优质服务</w:t>
            </w:r>
          </w:p>
        </w:tc>
        <w:tc>
          <w:tcPr>
            <w:tcW w:w="833" w:type="pct"/>
            <w:vAlign w:val="center"/>
          </w:tcPr>
          <w:p>
            <w:pPr>
              <w:pStyle w:val="13"/>
            </w:pPr>
            <w:r>
              <w:t>研制新产品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生态效益指标</w:t>
            </w:r>
          </w:p>
        </w:tc>
        <w:tc>
          <w:tcPr>
            <w:tcW w:w="833" w:type="pct"/>
            <w:vAlign w:val="center"/>
          </w:tcPr>
          <w:p>
            <w:pPr>
              <w:pStyle w:val="13"/>
            </w:pPr>
            <w:r>
              <w:t>生态效益指标</w:t>
            </w:r>
          </w:p>
        </w:tc>
        <w:tc>
          <w:tcPr>
            <w:tcW w:w="1666" w:type="pct"/>
            <w:vAlign w:val="center"/>
          </w:tcPr>
          <w:p>
            <w:pPr>
              <w:pStyle w:val="13"/>
            </w:pPr>
            <w:r>
              <w:t>生态效益指标</w:t>
            </w:r>
          </w:p>
        </w:tc>
        <w:tc>
          <w:tcPr>
            <w:tcW w:w="833" w:type="pct"/>
            <w:vAlign w:val="center"/>
          </w:tcPr>
          <w:p>
            <w:pPr>
              <w:pStyle w:val="13"/>
            </w:pPr>
            <w:r>
              <w:t>不断转好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Merge w:val="continue"/>
            <w:vAlign w:val="center"/>
          </w:tcPr>
          <w:p/>
        </w:tc>
        <w:tc>
          <w:tcPr>
            <w:tcW w:w="833" w:type="pct"/>
            <w:vAlign w:val="center"/>
          </w:tcPr>
          <w:p>
            <w:pPr>
              <w:pStyle w:val="13"/>
            </w:pPr>
            <w:r>
              <w:t>可持续影响指标</w:t>
            </w:r>
          </w:p>
        </w:tc>
        <w:tc>
          <w:tcPr>
            <w:tcW w:w="833" w:type="pct"/>
            <w:vAlign w:val="center"/>
          </w:tcPr>
          <w:p>
            <w:pPr>
              <w:pStyle w:val="13"/>
            </w:pPr>
            <w:r>
              <w:t>业务能力增强</w:t>
            </w:r>
          </w:p>
        </w:tc>
        <w:tc>
          <w:tcPr>
            <w:tcW w:w="1666" w:type="pct"/>
            <w:vAlign w:val="center"/>
          </w:tcPr>
          <w:p>
            <w:pPr>
              <w:pStyle w:val="13"/>
            </w:pPr>
            <w:r>
              <w:t>业务能力增强</w:t>
            </w:r>
          </w:p>
        </w:tc>
        <w:tc>
          <w:tcPr>
            <w:tcW w:w="833" w:type="pct"/>
            <w:vAlign w:val="center"/>
          </w:tcPr>
          <w:p>
            <w:pPr>
              <w:pStyle w:val="13"/>
            </w:pPr>
            <w:r>
              <w:t>技术指标达到国际先进水平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833" w:type="pct"/>
            <w:vAlign w:val="center"/>
          </w:tcPr>
          <w:p>
            <w:pPr>
              <w:pStyle w:val="12"/>
            </w:pPr>
            <w:r>
              <w:t>满意度指标</w:t>
            </w:r>
          </w:p>
        </w:tc>
        <w:tc>
          <w:tcPr>
            <w:tcW w:w="833" w:type="pct"/>
            <w:vAlign w:val="center"/>
          </w:tcPr>
          <w:p>
            <w:pPr>
              <w:pStyle w:val="13"/>
            </w:pPr>
            <w:r>
              <w:t>服务对象满意度指标</w:t>
            </w:r>
          </w:p>
        </w:tc>
        <w:tc>
          <w:tcPr>
            <w:tcW w:w="833" w:type="pct"/>
            <w:vAlign w:val="center"/>
          </w:tcPr>
          <w:p>
            <w:pPr>
              <w:pStyle w:val="13"/>
            </w:pPr>
            <w:r>
              <w:t>企业满意度</w:t>
            </w:r>
          </w:p>
        </w:tc>
        <w:tc>
          <w:tcPr>
            <w:tcW w:w="1666" w:type="pct"/>
            <w:vAlign w:val="center"/>
          </w:tcPr>
          <w:p>
            <w:pPr>
              <w:pStyle w:val="13"/>
            </w:pPr>
            <w:r>
              <w:t>企业满意度</w:t>
            </w:r>
          </w:p>
        </w:tc>
        <w:tc>
          <w:tcPr>
            <w:tcW w:w="833" w:type="pct"/>
            <w:vAlign w:val="center"/>
          </w:tcPr>
          <w:p>
            <w:pPr>
              <w:pStyle w:val="13"/>
            </w:pPr>
            <w:r>
              <w:t>≥80百分比</w:t>
            </w:r>
          </w:p>
        </w:tc>
      </w:tr>
      <w:bookmarkEnd w:id="0"/>
    </w:tbl>
    <w:p>
      <w:pPr>
        <w:numPr>
          <w:numId w:val="0"/>
        </w:numPr>
        <w:spacing w:line="600" w:lineRule="exact"/>
        <w:rPr>
          <w:rFonts w:hint="eastAsia" w:ascii="仿宋_GB2312" w:eastAsia="仿宋_GB2312"/>
          <w:sz w:val="32"/>
          <w:szCs w:val="32"/>
        </w:rPr>
      </w:pP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2"/>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绩效评价目的、对象和范围。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绩效评价的目的是加强预算绩效管理，强化支出责任，建立科学、合理的财政支出绩效评价管理体系，提高财政资金使用效益。绩效评价的对象和范围包括部门（单位）预算管理的财政性资金和上级政府对下级政府的转移支付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本次绩效评价指标的确定遵循相关性原则、重要性原则、可比性原则、系统性原则及经济性原则。评价主要依据项目绩效目标表。</w:t>
      </w:r>
    </w:p>
    <w:p>
      <w:pPr>
        <w:numPr>
          <w:ilvl w:val="0"/>
          <w:numId w:val="3"/>
        </w:numPr>
        <w:spacing w:line="600" w:lineRule="exact"/>
        <w:ind w:firstLine="640" w:firstLineChars="200"/>
        <w:rPr>
          <w:rFonts w:hint="eastAsia" w:eastAsia="黑体"/>
          <w:sz w:val="32"/>
          <w:szCs w:val="32"/>
        </w:rPr>
      </w:pPr>
      <w:r>
        <w:rPr>
          <w:rFonts w:hint="eastAsia" w:eastAsia="黑体"/>
          <w:sz w:val="32"/>
          <w:szCs w:val="32"/>
        </w:rPr>
        <w:t>综合评价情况及评价结论</w:t>
      </w:r>
    </w:p>
    <w:p>
      <w:pPr>
        <w:tabs>
          <w:tab w:val="left" w:pos="539"/>
        </w:tabs>
        <w:spacing w:line="570" w:lineRule="exact"/>
        <w:ind w:firstLine="640" w:firstLineChars="200"/>
        <w:rPr>
          <w:rFonts w:hint="eastAsia" w:eastAsia="黑体"/>
          <w:sz w:val="32"/>
          <w:szCs w:val="32"/>
        </w:rPr>
      </w:pPr>
      <w:r>
        <w:rPr>
          <w:rFonts w:hint="eastAsia" w:ascii="仿宋_GB2312" w:eastAsia="仿宋_GB2312"/>
          <w:sz w:val="32"/>
          <w:szCs w:val="32"/>
        </w:rPr>
        <w:t>综合评价得分</w:t>
      </w:r>
      <w:r>
        <w:rPr>
          <w:rFonts w:hint="eastAsia" w:ascii="仿宋_GB2312" w:eastAsia="仿宋_GB2312"/>
          <w:sz w:val="32"/>
          <w:szCs w:val="32"/>
          <w:lang w:val="en-US" w:eastAsia="zh-CN"/>
        </w:rPr>
        <w:t>100</w:t>
      </w:r>
      <w:r>
        <w:rPr>
          <w:rFonts w:hint="eastAsia" w:ascii="仿宋_GB2312" w:eastAsia="仿宋_GB2312"/>
          <w:sz w:val="32"/>
          <w:szCs w:val="32"/>
        </w:rPr>
        <w:t>分</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pStyle w:val="4"/>
        <w:shd w:val="clear" w:color="auto" w:fill="FFFFFF"/>
        <w:spacing w:before="0" w:beforeAutospacing="0" w:after="15" w:afterAutospacing="0"/>
        <w:ind w:firstLine="645"/>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此次评价决策指标细化到项目立项、绩效目标、资金投入。</w:t>
      </w:r>
    </w:p>
    <w:p>
      <w:pPr>
        <w:numPr>
          <w:ilvl w:val="0"/>
          <w:numId w:val="4"/>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项目过程情况。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项目实施分资金管理过程，组织实施过程。</w:t>
      </w:r>
    </w:p>
    <w:p>
      <w:pPr>
        <w:pStyle w:val="9"/>
        <w:numPr>
          <w:ilvl w:val="0"/>
          <w:numId w:val="4"/>
        </w:numPr>
        <w:shd w:val="clear" w:color="auto" w:fill="FFFFFF"/>
        <w:spacing w:before="0" w:beforeAutospacing="0" w:after="0" w:afterAutospacing="0"/>
        <w:ind w:left="0" w:leftChars="0" w:firstLine="640" w:firstLineChars="200"/>
        <w:rPr>
          <w:rStyle w:val="10"/>
          <w:rFonts w:hint="eastAsia" w:ascii="仿宋_GB2312" w:hAnsi="微软雅黑" w:eastAsia="仿宋_GB2312"/>
          <w:color w:val="333333"/>
          <w:sz w:val="30"/>
          <w:szCs w:val="30"/>
        </w:rPr>
      </w:pPr>
      <w:r>
        <w:rPr>
          <w:rFonts w:hint="eastAsia" w:ascii="仿宋_GB2312" w:eastAsia="仿宋_GB2312"/>
          <w:sz w:val="32"/>
          <w:szCs w:val="32"/>
        </w:rPr>
        <w:t>项目产出情况。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项目产出指标细化到产出数量、产出质量、产出时效、产出成本共计四项。</w:t>
      </w:r>
    </w:p>
    <w:p>
      <w:pPr>
        <w:numPr>
          <w:ilvl w:val="0"/>
          <w:numId w:val="4"/>
        </w:numPr>
        <w:spacing w:line="600" w:lineRule="exact"/>
        <w:ind w:left="0" w:leftChars="0" w:firstLine="640" w:firstLineChars="200"/>
        <w:outlineLvl w:val="0"/>
        <w:rPr>
          <w:rFonts w:hint="eastAsia" w:ascii="仿宋_GB2312" w:eastAsia="仿宋_GB2312"/>
          <w:sz w:val="32"/>
          <w:szCs w:val="32"/>
        </w:rPr>
      </w:pPr>
      <w:r>
        <w:rPr>
          <w:rFonts w:hint="eastAsia" w:ascii="仿宋_GB2312" w:eastAsia="仿宋_GB2312"/>
          <w:sz w:val="32"/>
          <w:szCs w:val="32"/>
        </w:rPr>
        <w:t>项目效益情况。</w:t>
      </w:r>
    </w:p>
    <w:p>
      <w:pPr>
        <w:pStyle w:val="9"/>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ind w:firstLine="640" w:firstLineChars="200"/>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本项指标充分考虑项目的可持续发展，注重于本项目的经济效益、社会效益、生态效益，可持续影响效益。</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lang w:val="en-US" w:eastAsia="zh-CN"/>
        </w:rPr>
        <w:t>五、</w:t>
      </w:r>
      <w:r>
        <w:rPr>
          <w:rFonts w:hint="eastAsia" w:eastAsia="黑体"/>
          <w:sz w:val="32"/>
          <w:szCs w:val="32"/>
        </w:rPr>
        <w:t>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0" w:leftChars="0" w:firstLine="640" w:firstLineChars="200"/>
        <w:textAlignment w:val="auto"/>
        <w:rPr>
          <w:rFonts w:hint="eastAsia" w:eastAsia="黑体"/>
          <w:sz w:val="32"/>
          <w:szCs w:val="32"/>
        </w:rPr>
      </w:pPr>
      <w:r>
        <w:rPr>
          <w:rFonts w:hint="eastAsia" w:eastAsia="黑体"/>
          <w:sz w:val="32"/>
          <w:szCs w:val="32"/>
        </w:rPr>
        <w:t>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eastAsia="黑体"/>
          <w:sz w:val="32"/>
          <w:szCs w:val="32"/>
          <w:lang w:val="en-US" w:eastAsia="zh-CN"/>
        </w:rPr>
      </w:pPr>
      <w:r>
        <w:rPr>
          <w:rFonts w:hint="eastAsia" w:ascii="仿宋_GB2312" w:hAnsi="Times New Roman" w:eastAsia="仿宋_GB2312" w:cs="Times New Roman"/>
          <w:kern w:val="2"/>
          <w:sz w:val="32"/>
          <w:szCs w:val="32"/>
          <w:lang w:val="en-US" w:eastAsia="zh-CN" w:bidi="ar-SA"/>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66E3A5"/>
    <w:multiLevelType w:val="singleLevel"/>
    <w:tmpl w:val="B166E3A5"/>
    <w:lvl w:ilvl="0" w:tentative="0">
      <w:start w:val="2"/>
      <w:numFmt w:val="chineseCounting"/>
      <w:suff w:val="nothing"/>
      <w:lvlText w:val="（%1）"/>
      <w:lvlJc w:val="left"/>
      <w:rPr>
        <w:rFonts w:hint="eastAsia"/>
      </w:rPr>
    </w:lvl>
  </w:abstractNum>
  <w:abstractNum w:abstractNumId="1">
    <w:nsid w:val="FA31B4A3"/>
    <w:multiLevelType w:val="singleLevel"/>
    <w:tmpl w:val="FA31B4A3"/>
    <w:lvl w:ilvl="0" w:tentative="0">
      <w:start w:val="6"/>
      <w:numFmt w:val="chineseCounting"/>
      <w:suff w:val="nothing"/>
      <w:lvlText w:val="%1、"/>
      <w:lvlJc w:val="left"/>
      <w:rPr>
        <w:rFonts w:hint="eastAsia"/>
      </w:rPr>
    </w:lvl>
  </w:abstractNum>
  <w:abstractNum w:abstractNumId="2">
    <w:nsid w:val="FA85BEB7"/>
    <w:multiLevelType w:val="singleLevel"/>
    <w:tmpl w:val="FA85BEB7"/>
    <w:lvl w:ilvl="0" w:tentative="0">
      <w:start w:val="2"/>
      <w:numFmt w:val="chineseCounting"/>
      <w:suff w:val="nothing"/>
      <w:lvlText w:val="（%1）"/>
      <w:lvlJc w:val="left"/>
      <w:rPr>
        <w:rFonts w:hint="eastAsia"/>
      </w:rPr>
    </w:lvl>
  </w:abstractNum>
  <w:abstractNum w:abstractNumId="3">
    <w:nsid w:val="3B09FC3D"/>
    <w:multiLevelType w:val="singleLevel"/>
    <w:tmpl w:val="3B09FC3D"/>
    <w:lvl w:ilvl="0" w:tentative="0">
      <w:start w:val="3"/>
      <w:numFmt w:val="chineseCounting"/>
      <w:suff w:val="nothing"/>
      <w:lvlText w:val="%1、"/>
      <w:lvlJc w:val="left"/>
      <w:rPr>
        <w:rFonts w:hint="eastAsia"/>
      </w:rPr>
    </w:lvl>
  </w:abstractNum>
  <w:abstractNum w:abstractNumId="4">
    <w:nsid w:val="4590F93C"/>
    <w:multiLevelType w:val="singleLevel"/>
    <w:tmpl w:val="4590F93C"/>
    <w:lvl w:ilvl="0" w:tentative="0">
      <w:start w:val="2"/>
      <w:numFmt w:val="chineseCounting"/>
      <w:suff w:val="nothing"/>
      <w:lvlText w:val="（%1）"/>
      <w:lvlJc w:val="left"/>
      <w:rPr>
        <w:rFonts w:hint="eastAsia"/>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AF6AAA"/>
    <w:rsid w:val="0B4B4E01"/>
    <w:rsid w:val="0FD13331"/>
    <w:rsid w:val="115E244B"/>
    <w:rsid w:val="25261316"/>
    <w:rsid w:val="419162EE"/>
    <w:rsid w:val="44787793"/>
    <w:rsid w:val="455E45F1"/>
    <w:rsid w:val="4595474B"/>
    <w:rsid w:val="49D67DF9"/>
    <w:rsid w:val="4AED038C"/>
    <w:rsid w:val="4F7923AD"/>
    <w:rsid w:val="51D879E2"/>
    <w:rsid w:val="5C816EBC"/>
    <w:rsid w:val="63AF0C61"/>
    <w:rsid w:val="7D244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normal"/>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normal1"/>
    <w:basedOn w:val="6"/>
    <w:qFormat/>
    <w:uiPriority w:val="0"/>
  </w:style>
  <w:style w:type="paragraph" w:customStyle="1" w:styleId="11">
    <w:name w:val="单元格样式1"/>
    <w:basedOn w:val="1"/>
    <w:qFormat/>
    <w:uiPriority w:val="0"/>
    <w:pPr>
      <w:spacing w:before="0" w:after="0"/>
      <w:ind w:firstLine="0"/>
      <w:jc w:val="center"/>
      <w:outlineLvl w:val="9"/>
    </w:pPr>
    <w:rPr>
      <w:rFonts w:ascii="方正书宋_GBK" w:hAnsi="方正书宋_GBK" w:eastAsia="方正书宋_GBK" w:cs="方正书宋_GBK"/>
      <w:b/>
      <w:sz w:val="21"/>
    </w:rPr>
  </w:style>
  <w:style w:type="paragraph" w:customStyle="1" w:styleId="12">
    <w:name w:val="单元格样式3"/>
    <w:basedOn w:val="1"/>
    <w:qFormat/>
    <w:uiPriority w:val="0"/>
    <w:pPr>
      <w:spacing w:before="0" w:after="0"/>
      <w:ind w:firstLine="0"/>
      <w:jc w:val="center"/>
      <w:outlineLvl w:val="9"/>
    </w:pPr>
    <w:rPr>
      <w:rFonts w:ascii="方正书宋_GBK" w:hAnsi="方正书宋_GBK" w:eastAsia="方正书宋_GBK" w:cs="方正书宋_GBK"/>
      <w:sz w:val="21"/>
    </w:rPr>
  </w:style>
  <w:style w:type="paragraph" w:customStyle="1" w:styleId="13">
    <w:name w:val="单元格样式2"/>
    <w:basedOn w:val="1"/>
    <w:qFormat/>
    <w:uiPriority w:val="0"/>
    <w:pPr>
      <w:spacing w:before="0" w:after="0"/>
      <w:ind w:firstLine="0"/>
      <w:jc w:val="left"/>
      <w:outlineLvl w:val="9"/>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2024-04-24T01:38:21Z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