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科学技术局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科技型中小企业培育和素质提升培训</w:t>
      </w:r>
      <w:bookmarkStart w:id="0" w:name="_GoBack"/>
      <w:bookmarkEnd w:id="0"/>
      <w:r>
        <w:rPr>
          <w:rFonts w:hint="eastAsia" w:ascii="方正小标宋_GBK" w:hAnsi="宋体" w:eastAsia="方正小标宋_GBK" w:cs="宋体"/>
          <w:bCs/>
          <w:kern w:val="0"/>
          <w:sz w:val="44"/>
          <w:szCs w:val="44"/>
          <w:u w:val="single"/>
          <w:lang w:val="en-US" w:eastAsia="zh-CN"/>
        </w:rPr>
        <w:t xml:space="preserve">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方正仿宋简体"/>
          <w:sz w:val="32"/>
          <w:szCs w:val="32"/>
          <w:lang w:eastAsia="zh-CN"/>
        </w:rPr>
      </w:pPr>
      <w:r>
        <w:rPr>
          <w:rFonts w:hint="eastAsia" w:ascii="方正仿宋简体" w:hAnsi="方正仿宋简体" w:eastAsia="方正仿宋简体" w:cs="方正仿宋简体"/>
          <w:sz w:val="32"/>
          <w:szCs w:val="32"/>
          <w:lang w:val="en-US" w:eastAsia="zh-CN"/>
        </w:rPr>
        <w:t>国家科技型中小企业是今年省里新增的高质量发展、经济开发区和县域科跃升计划的重要指标，省级科技型中小企业也是省考核县（市、区）的一项重要指标，两项指标均考核绝对值总量。目前我县国家科技型中小企业入库工作比较顺利，但省级科技型中小企业由于培育难度大，企业积极性不高，为推动国家和省级科技型中小企业的培育申报工作，特申请</w:t>
      </w:r>
      <w:r>
        <w:rPr>
          <w:rFonts w:hint="eastAsia" w:ascii="方正仿宋简体" w:hAnsi="方正仿宋简体" w:eastAsia="方正仿宋简体" w:cs="方正仿宋简体"/>
          <w:sz w:val="32"/>
          <w:szCs w:val="32"/>
        </w:rPr>
        <w:t>科技型中小企业培育和素质提升资金</w:t>
      </w:r>
      <w:r>
        <w:rPr>
          <w:rFonts w:hint="eastAsia" w:ascii="方正仿宋简体" w:hAnsi="方正仿宋简体" w:eastAsia="方正仿宋简体" w:cs="方正仿宋简体"/>
          <w:sz w:val="32"/>
          <w:szCs w:val="32"/>
          <w:lang w:eastAsia="zh-CN"/>
        </w:rPr>
        <w:t>。</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numPr>
          <w:ilvl w:val="0"/>
          <w:numId w:val="0"/>
        </w:numPr>
        <w:spacing w:line="600" w:lineRule="exact"/>
        <w:rPr>
          <w:rFonts w:hint="default" w:ascii="仿宋_GB2312" w:eastAsia="仿宋_GB2312"/>
          <w:sz w:val="32"/>
          <w:szCs w:val="32"/>
          <w:lang w:val="en-US" w:eastAsia="zh-CN"/>
        </w:rPr>
      </w:pPr>
      <w:r>
        <w:rPr>
          <w:rFonts w:hint="eastAsia" w:ascii="仿宋_GB2312" w:eastAsia="仿宋_GB2312"/>
          <w:sz w:val="32"/>
          <w:szCs w:val="32"/>
          <w:lang w:val="en-US" w:eastAsia="zh-CN"/>
        </w:rPr>
        <w:t xml:space="preserve">    </w:t>
      </w:r>
    </w:p>
    <w:tbl>
      <w:tblPr>
        <w:tblStyle w:val="5"/>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1419"/>
        <w:gridCol w:w="1420"/>
        <w:gridCol w:w="1420"/>
        <w:gridCol w:w="2840"/>
        <w:gridCol w:w="14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833"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一级指标</w:t>
            </w:r>
          </w:p>
        </w:tc>
        <w:tc>
          <w:tcPr>
            <w:tcW w:w="833"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二级指标</w:t>
            </w:r>
          </w:p>
        </w:tc>
        <w:tc>
          <w:tcPr>
            <w:tcW w:w="833"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三级指标</w:t>
            </w:r>
          </w:p>
        </w:tc>
        <w:tc>
          <w:tcPr>
            <w:tcW w:w="1666"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绩效指标描述</w:t>
            </w:r>
          </w:p>
        </w:tc>
        <w:tc>
          <w:tcPr>
            <w:tcW w:w="833"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restart"/>
            <w:vAlign w:val="center"/>
          </w:tcPr>
          <w:p>
            <w:pPr>
              <w:pStyle w:val="12"/>
              <w:keepNext w:val="0"/>
              <w:keepLines w:val="0"/>
              <w:pageBreakBefore w:val="0"/>
              <w:widowControl w:val="0"/>
              <w:kinsoku/>
              <w:wordWrap/>
              <w:overflowPunct/>
              <w:topLinePunct w:val="0"/>
              <w:autoSpaceDE/>
              <w:autoSpaceDN/>
              <w:bidi w:val="0"/>
              <w:adjustRightInd/>
              <w:snapToGrid/>
              <w:spacing w:line="240" w:lineRule="exact"/>
              <w:textAlignment w:val="auto"/>
            </w:pPr>
            <w:r>
              <w:t>产出指标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数量指标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培育科技型中小企业的任务目标完</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培育科技型中小企业的任务目标完成率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100百分比</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质量指标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质量指标</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质量指标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科技型中小企业数量320家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时效指标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时效指标</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时效指标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按时完成年度考核任务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成本指标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资金成本</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资金成本</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35万元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restart"/>
            <w:vAlign w:val="center"/>
          </w:tcPr>
          <w:p>
            <w:pPr>
              <w:pStyle w:val="12"/>
              <w:keepNext w:val="0"/>
              <w:keepLines w:val="0"/>
              <w:pageBreakBefore w:val="0"/>
              <w:widowControl w:val="0"/>
              <w:kinsoku/>
              <w:wordWrap/>
              <w:overflowPunct/>
              <w:topLinePunct w:val="0"/>
              <w:autoSpaceDE/>
              <w:autoSpaceDN/>
              <w:bidi w:val="0"/>
              <w:adjustRightInd/>
              <w:snapToGrid/>
              <w:spacing w:line="240" w:lineRule="exact"/>
              <w:textAlignment w:val="auto"/>
            </w:pPr>
            <w:r>
              <w:t>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经济效益指标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提高效率</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提高效率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提高目标完成效率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社会效益指标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社会效益</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社会效益</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提高科技水平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生态效益指标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生态效益指标</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生态效益指标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不断转好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可持续影响指标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可持续性服务</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可持续性服务</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不断提供服务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Align w:val="center"/>
          </w:tcPr>
          <w:p>
            <w:pPr>
              <w:pStyle w:val="12"/>
              <w:keepNext w:val="0"/>
              <w:keepLines w:val="0"/>
              <w:pageBreakBefore w:val="0"/>
              <w:widowControl w:val="0"/>
              <w:kinsoku/>
              <w:wordWrap/>
              <w:overflowPunct/>
              <w:topLinePunct w:val="0"/>
              <w:autoSpaceDE/>
              <w:autoSpaceDN/>
              <w:bidi w:val="0"/>
              <w:adjustRightInd/>
              <w:snapToGrid/>
              <w:spacing w:line="240" w:lineRule="exact"/>
              <w:textAlignment w:val="auto"/>
            </w:pPr>
            <w:r>
              <w:t>满意度指标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服务对象满意度指标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企业满意度</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企业满意度</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不断提高</w:t>
            </w:r>
          </w:p>
        </w:tc>
      </w:tr>
    </w:tbl>
    <w:p>
      <w:pPr>
        <w:numPr>
          <w:ilvl w:val="0"/>
          <w:numId w:val="0"/>
        </w:numPr>
        <w:spacing w:line="600" w:lineRule="exact"/>
        <w:rPr>
          <w:rFonts w:hint="default" w:ascii="仿宋_GB2312" w:eastAsia="仿宋_GB2312"/>
          <w:sz w:val="32"/>
          <w:szCs w:val="32"/>
          <w:lang w:val="en-US" w:eastAsia="zh-CN"/>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本次绩效评价指标的确定遵循相关性原则、重要性原则、可比性原则、系统性原则及经济性原则。评价主要依据项目绩效目标表。</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tabs>
          <w:tab w:val="left" w:pos="539"/>
        </w:tabs>
        <w:spacing w:line="570" w:lineRule="exact"/>
        <w:ind w:firstLine="640" w:firstLineChars="200"/>
        <w:rPr>
          <w:rFonts w:hint="eastAsia" w:eastAsia="黑体"/>
          <w:sz w:val="32"/>
          <w:szCs w:val="32"/>
        </w:rPr>
      </w:pPr>
      <w:r>
        <w:rPr>
          <w:rFonts w:hint="eastAsia" w:ascii="仿宋_GB2312" w:eastAsia="仿宋_GB2312"/>
          <w:sz w:val="32"/>
          <w:szCs w:val="32"/>
        </w:rPr>
        <w:t>综合评价得分</w:t>
      </w:r>
      <w:r>
        <w:rPr>
          <w:rFonts w:hint="eastAsia" w:ascii="仿宋_GB2312" w:eastAsia="仿宋_GB2312"/>
          <w:sz w:val="32"/>
          <w:szCs w:val="32"/>
          <w:lang w:val="en-US" w:eastAsia="zh-CN"/>
        </w:rPr>
        <w:t>100</w:t>
      </w:r>
      <w:r>
        <w:rPr>
          <w:rFonts w:hint="eastAsia" w:ascii="仿宋_GB2312" w:eastAsia="仿宋_GB2312"/>
          <w:sz w:val="32"/>
          <w:szCs w:val="32"/>
        </w:rPr>
        <w:t>分</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pStyle w:val="4"/>
        <w:shd w:val="clear" w:color="auto" w:fill="FFFFFF"/>
        <w:spacing w:before="0" w:beforeAutospacing="0" w:after="15" w:afterAutospacing="0"/>
        <w:ind w:firstLine="645"/>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此次评价决策指标细化到项目立项、绩效目标、资金投入。</w:t>
      </w:r>
    </w:p>
    <w:p>
      <w:pPr>
        <w:numPr>
          <w:ilvl w:val="0"/>
          <w:numId w:val="4"/>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项目实施分资金管理过程，组织实施过程。</w:t>
      </w:r>
    </w:p>
    <w:p>
      <w:pPr>
        <w:pStyle w:val="9"/>
        <w:numPr>
          <w:ilvl w:val="0"/>
          <w:numId w:val="4"/>
        </w:numPr>
        <w:shd w:val="clear" w:color="auto" w:fill="FFFFFF"/>
        <w:spacing w:before="0" w:beforeAutospacing="0" w:after="0" w:afterAutospacing="0"/>
        <w:ind w:left="0" w:leftChars="0" w:firstLine="640" w:firstLineChars="200"/>
        <w:rPr>
          <w:rStyle w:val="10"/>
          <w:rFonts w:hint="eastAsia" w:ascii="仿宋_GB2312" w:hAnsi="微软雅黑" w:eastAsia="仿宋_GB2312"/>
          <w:color w:val="333333"/>
          <w:sz w:val="30"/>
          <w:szCs w:val="30"/>
        </w:rPr>
      </w:pPr>
      <w:r>
        <w:rPr>
          <w:rFonts w:hint="eastAsia" w:ascii="仿宋_GB2312" w:eastAsia="仿宋_GB2312"/>
          <w:sz w:val="32"/>
          <w:szCs w:val="32"/>
        </w:rPr>
        <w:t>项目产出情况。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项目产出指标细化到产出数量、产出质量、产出时效、产出成本共计四项。</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本项指标充分考虑项目的可持续发展，注重于本项目的经济效益、社会效益、生态效益，可持续影响效益。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lang w:val="en-US" w:eastAsia="zh-CN"/>
        </w:rPr>
        <w:t>五、</w:t>
      </w:r>
      <w:r>
        <w:rPr>
          <w:rFonts w:hint="eastAsia" w:eastAsia="黑体"/>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eastAsia" w:eastAsia="黑体"/>
          <w:sz w:val="32"/>
          <w:szCs w:val="32"/>
        </w:rPr>
      </w:pPr>
      <w:r>
        <w:rPr>
          <w:rFonts w:hint="eastAsia" w:eastAsia="黑体"/>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altName w:val="微软雅黑"/>
    <w:panose1 w:val="00000000000000000000"/>
    <w:charset w:val="00"/>
    <w:family w:val="auto"/>
    <w:pitch w:val="default"/>
    <w:sig w:usb0="00000000" w:usb1="00000000" w:usb2="00000000" w:usb3="00000000" w:csb0="00000000"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6E3A5"/>
    <w:multiLevelType w:val="singleLevel"/>
    <w:tmpl w:val="B166E3A5"/>
    <w:lvl w:ilvl="0" w:tentative="0">
      <w:start w:val="2"/>
      <w:numFmt w:val="chineseCounting"/>
      <w:suff w:val="nothing"/>
      <w:lvlText w:val="（%1）"/>
      <w:lvlJc w:val="left"/>
      <w:rPr>
        <w:rFonts w:hint="eastAsia"/>
      </w:rPr>
    </w:lvl>
  </w:abstractNum>
  <w:abstractNum w:abstractNumId="1">
    <w:nsid w:val="FA31B4A3"/>
    <w:multiLevelType w:val="singleLevel"/>
    <w:tmpl w:val="FA31B4A3"/>
    <w:lvl w:ilvl="0" w:tentative="0">
      <w:start w:val="6"/>
      <w:numFmt w:val="chineseCounting"/>
      <w:suff w:val="nothing"/>
      <w:lvlText w:val="%1、"/>
      <w:lvlJc w:val="left"/>
      <w:rPr>
        <w:rFonts w:hint="eastAsia"/>
      </w:rPr>
    </w:lvl>
  </w:abstractNum>
  <w:abstractNum w:abstractNumId="2">
    <w:nsid w:val="FA85BEB7"/>
    <w:multiLevelType w:val="singleLevel"/>
    <w:tmpl w:val="FA85BEB7"/>
    <w:lvl w:ilvl="0" w:tentative="0">
      <w:start w:val="2"/>
      <w:numFmt w:val="chineseCounting"/>
      <w:suff w:val="nothing"/>
      <w:lvlText w:val="（%1）"/>
      <w:lvlJc w:val="left"/>
      <w:rPr>
        <w:rFonts w:hint="eastAsia"/>
      </w:rPr>
    </w:lvl>
  </w:abstractNum>
  <w:abstractNum w:abstractNumId="3">
    <w:nsid w:val="0445B5ED"/>
    <w:multiLevelType w:val="singleLevel"/>
    <w:tmpl w:val="0445B5ED"/>
    <w:lvl w:ilvl="0" w:tentative="0">
      <w:start w:val="2"/>
      <w:numFmt w:val="chineseCounting"/>
      <w:suff w:val="nothing"/>
      <w:lvlText w:val="（%1）"/>
      <w:lvlJc w:val="left"/>
      <w:rPr>
        <w:rFonts w:hint="eastAsia"/>
      </w:rPr>
    </w:lvl>
  </w:abstractNum>
  <w:abstractNum w:abstractNumId="4">
    <w:nsid w:val="3B09FC3D"/>
    <w:multiLevelType w:val="singleLevel"/>
    <w:tmpl w:val="3B09FC3D"/>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6A005D6"/>
    <w:rsid w:val="07AF6AAA"/>
    <w:rsid w:val="0B4B4E01"/>
    <w:rsid w:val="0FD13331"/>
    <w:rsid w:val="13290EB4"/>
    <w:rsid w:val="191543D9"/>
    <w:rsid w:val="25261316"/>
    <w:rsid w:val="44787793"/>
    <w:rsid w:val="4595474B"/>
    <w:rsid w:val="49D67DF9"/>
    <w:rsid w:val="4AED038C"/>
    <w:rsid w:val="4F7923AD"/>
    <w:rsid w:val="51D879E2"/>
    <w:rsid w:val="63AF0C61"/>
    <w:rsid w:val="7D24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normal"/>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normal1"/>
    <w:basedOn w:val="6"/>
    <w:qFormat/>
    <w:uiPriority w:val="0"/>
  </w:style>
  <w:style w:type="paragraph" w:customStyle="1" w:styleId="11">
    <w:name w:val="单元格样式1"/>
    <w:basedOn w:val="1"/>
    <w:qFormat/>
    <w:uiPriority w:val="0"/>
    <w:pPr>
      <w:spacing w:before="0" w:after="0"/>
      <w:ind w:firstLine="0"/>
      <w:jc w:val="center"/>
      <w:outlineLvl w:val="9"/>
    </w:pPr>
    <w:rPr>
      <w:rFonts w:ascii="方正书宋_GBK" w:hAnsi="方正书宋_GBK" w:eastAsia="方正书宋_GBK" w:cs="方正书宋_GBK"/>
      <w:b/>
      <w:sz w:val="21"/>
    </w:rPr>
  </w:style>
  <w:style w:type="paragraph" w:customStyle="1" w:styleId="12">
    <w:name w:val="单元格样式3"/>
    <w:basedOn w:val="1"/>
    <w:qFormat/>
    <w:uiPriority w:val="0"/>
    <w:pPr>
      <w:spacing w:before="0" w:after="0"/>
      <w:ind w:firstLine="0"/>
      <w:jc w:val="center"/>
      <w:outlineLvl w:val="9"/>
    </w:pPr>
    <w:rPr>
      <w:rFonts w:ascii="方正书宋_GBK" w:hAnsi="方正书宋_GBK" w:eastAsia="方正书宋_GBK" w:cs="方正书宋_GBK"/>
      <w:sz w:val="21"/>
    </w:rPr>
  </w:style>
  <w:style w:type="paragraph" w:customStyle="1" w:styleId="13">
    <w:name w:val="单元格样式2"/>
    <w:basedOn w:val="1"/>
    <w:qFormat/>
    <w:uiPriority w:val="0"/>
    <w:pPr>
      <w:spacing w:before="0" w:after="0"/>
      <w:ind w:firstLine="0"/>
      <w:jc w:val="left"/>
      <w:outlineLvl w:val="9"/>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2024-04-24T02:20:10Z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