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left="360" w:leftChars="120" w:right="0" w:firstLine="118" w:firstLineChars="33"/>
        <w:jc w:val="both"/>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冀财教[2022]165号 2023年支持市</w:t>
      </w:r>
    </w:p>
    <w:p>
      <w:pPr>
        <w:pStyle w:val="10"/>
        <w:keepNext w:val="0"/>
        <w:keepLines w:val="0"/>
        <w:framePr w:w="8328" w:h="4402" w:hRule="exact" w:wrap="around" w:vAnchor="page" w:hAnchor="page" w:x="1826" w:y="9954"/>
        <w:widowControl w:val="0"/>
        <w:shd w:val="clear" w:color="auto" w:fill="auto"/>
        <w:bidi w:val="0"/>
        <w:spacing w:before="0" w:after="0" w:line="643" w:lineRule="exact"/>
        <w:ind w:left="360" w:leftChars="120" w:right="0" w:firstLine="118" w:firstLineChars="33"/>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 xml:space="preserve">县科技创新和科学普及专项资金预算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玉田县科学技术局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马洪义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6112194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2024年4月24</w:t>
      </w:r>
      <w:bookmarkStart w:id="39" w:name="_GoBack"/>
      <w:bookmarkEnd w:id="39"/>
      <w:r>
        <w:rPr>
          <w:rFonts w:hint="eastAsia" w:ascii="仿宋" w:hAnsi="仿宋" w:eastAsia="仿宋" w:cs="仿宋"/>
          <w:color w:val="000000"/>
          <w:spacing w:val="0"/>
          <w:w w:val="100"/>
          <w:position w:val="0"/>
          <w:sz w:val="36"/>
          <w:szCs w:val="36"/>
          <w:u w:val="single"/>
          <w:lang w:val="en-US" w:eastAsia="zh-CN"/>
        </w:rPr>
        <w:t>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pStyle w:val="13"/>
        <w:rPr>
          <w:rFonts w:ascii="仿宋" w:hAnsi="仿宋" w:eastAsia="仿宋" w:cs="仿宋"/>
          <w:kern w:val="2"/>
          <w:sz w:val="32"/>
          <w:szCs w:val="32"/>
          <w:lang w:eastAsia="zh-CN"/>
        </w:rPr>
      </w:pPr>
      <w:bookmarkStart w:id="21" w:name="_Toc31309_WPSOffice_Level1"/>
      <w:r>
        <w:rPr>
          <w:rFonts w:ascii="仿宋" w:hAnsi="仿宋" w:eastAsia="仿宋" w:cs="仿宋"/>
          <w:kern w:val="2"/>
          <w:sz w:val="32"/>
          <w:szCs w:val="32"/>
          <w:lang w:eastAsia="zh-CN"/>
        </w:rPr>
        <w:t>1、贯彻执行国家、省、市有关科技方针、政策、法规，组织制定和实施全县科技发展中长期规划，负责审核上报国家、省、市级和制定县级的各类年度科研计划，并组织实施。</w:t>
      </w:r>
    </w:p>
    <w:p>
      <w:pPr>
        <w:pStyle w:val="13"/>
        <w:rPr>
          <w:rFonts w:ascii="仿宋" w:hAnsi="仿宋" w:eastAsia="仿宋" w:cs="仿宋"/>
          <w:kern w:val="2"/>
          <w:sz w:val="32"/>
          <w:szCs w:val="32"/>
          <w:lang w:eastAsia="zh-CN"/>
        </w:rPr>
      </w:pPr>
      <w:r>
        <w:rPr>
          <w:rFonts w:ascii="仿宋" w:hAnsi="仿宋" w:eastAsia="仿宋" w:cs="仿宋"/>
          <w:kern w:val="2"/>
          <w:sz w:val="32"/>
          <w:szCs w:val="32"/>
          <w:lang w:eastAsia="zh-CN"/>
        </w:rPr>
        <w:t>2、负责县级科技三项费用的管理和监督检查；协同有关部门综合运用财政、信贷、税收等经济手段促进科技事业发展；组织提出全县高新技术发展战略及相关的政策措施，负责全县高新技术企业、产品的认定。</w:t>
      </w:r>
    </w:p>
    <w:p>
      <w:pPr>
        <w:pStyle w:val="13"/>
        <w:rPr>
          <w:rFonts w:ascii="仿宋" w:hAnsi="仿宋" w:eastAsia="仿宋" w:cs="仿宋"/>
          <w:kern w:val="2"/>
          <w:sz w:val="32"/>
          <w:szCs w:val="32"/>
          <w:lang w:eastAsia="zh-CN"/>
        </w:rPr>
      </w:pPr>
      <w:r>
        <w:rPr>
          <w:rFonts w:ascii="仿宋" w:hAnsi="仿宋" w:eastAsia="仿宋" w:cs="仿宋"/>
          <w:kern w:val="2"/>
          <w:sz w:val="32"/>
          <w:szCs w:val="32"/>
          <w:lang w:eastAsia="zh-CN"/>
        </w:rPr>
        <w:t>3、组织实施全县技术创新工作，推动科技创新体系建设，提高科技创新能力；受理申报科技型中小企业技术创新基金项目。</w:t>
      </w:r>
    </w:p>
    <w:p>
      <w:pPr>
        <w:pStyle w:val="13"/>
        <w:rPr>
          <w:rFonts w:ascii="仿宋" w:hAnsi="仿宋" w:eastAsia="仿宋" w:cs="仿宋"/>
          <w:kern w:val="2"/>
          <w:sz w:val="32"/>
          <w:szCs w:val="32"/>
          <w:lang w:eastAsia="zh-CN"/>
        </w:rPr>
      </w:pPr>
      <w:r>
        <w:rPr>
          <w:rFonts w:ascii="仿宋" w:hAnsi="仿宋" w:eastAsia="仿宋" w:cs="仿宋"/>
          <w:kern w:val="2"/>
          <w:sz w:val="32"/>
          <w:szCs w:val="32"/>
          <w:lang w:eastAsia="zh-CN"/>
        </w:rPr>
        <w:t>4、负责全县农业和农村科技进步工作；负责全县农业科技成果转化资金项目的申报实施；负责全县山区开发工作；负责县级科学技术奖励的评审、授予和全县范围内市级以上各类科学技术奖的审查与推荐申报工作。</w:t>
      </w:r>
    </w:p>
    <w:p>
      <w:pPr>
        <w:pStyle w:val="13"/>
        <w:rPr>
          <w:rFonts w:ascii="仿宋" w:hAnsi="仿宋" w:eastAsia="仿宋" w:cs="仿宋"/>
          <w:kern w:val="2"/>
          <w:sz w:val="32"/>
          <w:szCs w:val="32"/>
          <w:lang w:eastAsia="zh-CN"/>
        </w:rPr>
      </w:pPr>
      <w:r>
        <w:rPr>
          <w:rFonts w:ascii="仿宋" w:hAnsi="仿宋" w:eastAsia="仿宋" w:cs="仿宋"/>
          <w:kern w:val="2"/>
          <w:sz w:val="32"/>
          <w:szCs w:val="32"/>
          <w:lang w:eastAsia="zh-CN"/>
        </w:rPr>
        <w:t>5、负责全县科学技术普及工作；负责全县科技信息和科技统计工作；负责科技行政执法工作。</w:t>
      </w:r>
    </w:p>
    <w:p>
      <w:pPr>
        <w:pStyle w:val="13"/>
        <w:rPr>
          <w:rFonts w:ascii="仿宋" w:hAnsi="仿宋" w:eastAsia="仿宋" w:cs="仿宋"/>
          <w:kern w:val="2"/>
          <w:sz w:val="32"/>
          <w:szCs w:val="32"/>
          <w:lang w:eastAsia="zh-CN"/>
        </w:rPr>
      </w:pPr>
      <w:r>
        <w:rPr>
          <w:rFonts w:ascii="仿宋" w:hAnsi="仿宋" w:eastAsia="仿宋" w:cs="仿宋"/>
          <w:kern w:val="2"/>
          <w:sz w:val="32"/>
          <w:szCs w:val="32"/>
          <w:lang w:eastAsia="zh-CN"/>
        </w:rPr>
        <w:t>6、负责全县科技成果的鉴定、验收和推广工作。</w:t>
      </w:r>
    </w:p>
    <w:p>
      <w:pPr>
        <w:pStyle w:val="13"/>
        <w:rPr>
          <w:rFonts w:hint="eastAsia" w:ascii="仿宋" w:hAnsi="仿宋" w:eastAsia="仿宋" w:cs="仿宋"/>
          <w:kern w:val="2"/>
          <w:sz w:val="32"/>
          <w:szCs w:val="32"/>
          <w:lang w:eastAsia="zh-CN"/>
        </w:rPr>
      </w:pPr>
      <w:r>
        <w:rPr>
          <w:rFonts w:ascii="仿宋" w:hAnsi="仿宋" w:eastAsia="仿宋" w:cs="仿宋"/>
          <w:kern w:val="2"/>
          <w:sz w:val="32"/>
          <w:szCs w:val="32"/>
          <w:lang w:eastAsia="zh-CN"/>
        </w:rPr>
        <w:t>7、负责科技招商工作。</w:t>
      </w:r>
    </w:p>
    <w:p>
      <w:pPr>
        <w:pStyle w:val="13"/>
        <w:rPr>
          <w:rFonts w:hint="eastAsia" w:ascii="仿宋" w:hAnsi="仿宋" w:eastAsia="仿宋" w:cs="仿宋"/>
          <w:b/>
          <w:bCs/>
          <w:lang w:eastAsia="zh-CN"/>
        </w:rPr>
      </w:pPr>
      <w:r>
        <w:rPr>
          <w:rFonts w:ascii="仿宋" w:hAnsi="仿宋" w:eastAsia="仿宋" w:cs="仿宋"/>
          <w:sz w:val="32"/>
          <w:szCs w:val="32"/>
        </w:rPr>
        <w:t>8、完成县政府交办的其它任务。</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冀财教[2022]165号 2023年支持市县科技创新和科学普及专项资金预算</w:t>
      </w:r>
      <w:r>
        <w:rPr>
          <w:rFonts w:hint="eastAsia" w:ascii="仿宋" w:hAnsi="仿宋" w:eastAsia="仿宋" w:cs="仿宋"/>
          <w:sz w:val="32"/>
          <w:szCs w:val="32"/>
          <w:lang w:val="en-US" w:eastAsia="zh-CN"/>
        </w:rPr>
        <w:t>项目。</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eastAsia="zh-CN"/>
        </w:rPr>
        <w:t>（</w:t>
      </w:r>
      <w:r>
        <w:rPr>
          <w:rFonts w:hint="eastAsia" w:ascii="仿宋" w:hAnsi="仿宋" w:eastAsia="仿宋" w:cs="仿宋"/>
          <w:lang w:val="en-US" w:eastAsia="zh-CN"/>
        </w:rPr>
        <w:t>1</w:t>
      </w:r>
      <w:r>
        <w:rPr>
          <w:rFonts w:hint="eastAsia" w:ascii="仿宋" w:hAnsi="仿宋" w:eastAsia="仿宋" w:cs="仿宋"/>
          <w:lang w:eastAsia="zh-CN"/>
        </w:rPr>
        <w:t>）</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numPr>
          <w:ilvl w:val="0"/>
          <w:numId w:val="0"/>
        </w:numPr>
        <w:spacing w:line="600" w:lineRule="exact"/>
        <w:ind w:firstLine="600" w:firstLineChars="200"/>
        <w:rPr>
          <w:rFonts w:hint="eastAsia" w:ascii="仿宋" w:hAnsi="仿宋" w:eastAsia="仿宋" w:cs="仿宋"/>
          <w:b/>
          <w:bCs/>
          <w:lang w:eastAsia="zh-CN"/>
        </w:rPr>
      </w:pPr>
      <w:r>
        <w:rPr>
          <w:rFonts w:hint="eastAsia" w:ascii="仿宋" w:hAnsi="仿宋" w:eastAsia="仿宋" w:cs="仿宋"/>
        </w:rPr>
        <w:t>2. 由于工作性质的特殊性，工作任务主要是</w:t>
      </w:r>
      <w:r>
        <w:rPr>
          <w:rFonts w:hint="eastAsia" w:ascii="仿宋" w:hAnsi="仿宋" w:eastAsia="仿宋" w:cs="仿宋"/>
          <w:lang w:val="en-US" w:eastAsia="zh-CN"/>
        </w:rPr>
        <w:t>根据上级资金文件对企业进行奖励</w:t>
      </w:r>
      <w:r>
        <w:rPr>
          <w:rFonts w:hint="eastAsia" w:ascii="仿宋" w:hAnsi="仿宋" w:eastAsia="仿宋" w:cs="仿宋"/>
        </w:rPr>
        <w:t>，从而项目的经济效益、社会效益的评价无法定量估计。</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00" w:firstLineChars="200"/>
        <w:textAlignment w:val="auto"/>
        <w:outlineLvl w:val="0"/>
        <w:rPr>
          <w:rFonts w:hint="default" w:ascii="仿宋" w:hAnsi="仿宋" w:eastAsia="仿宋" w:cs="仿宋"/>
          <w:lang w:val="en-US" w:eastAsia="zh-CN"/>
        </w:rPr>
      </w:pPr>
      <w:bookmarkStart w:id="28" w:name="_Toc22094_WPSOffice_Level2"/>
      <w:r>
        <w:rPr>
          <w:rFonts w:hint="eastAsia" w:ascii="仿宋" w:hAnsi="仿宋" w:eastAsia="仿宋" w:cs="仿宋"/>
          <w:lang w:val="en-US" w:eastAsia="zh-CN"/>
        </w:rPr>
        <w:t>按照《关于提前下达2023年支持市县科技创新和科学普及专项资金预算的通知》（冀财教[2022]165号）文件要求，下达2023年支持市县科技创新和科学普及专项资金，用于科技企业研发费用加计扣除后补助、科技特派团工作经费补助、2021年优秀工作站、高企认定奖励。</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keepNext w:val="0"/>
        <w:keepLines w:val="0"/>
        <w:pageBreakBefore w:val="0"/>
        <w:widowControl w:val="0"/>
        <w:kinsoku/>
        <w:wordWrap/>
        <w:overflowPunct/>
        <w:topLinePunct w:val="0"/>
        <w:autoSpaceDE/>
        <w:autoSpaceDN/>
        <w:bidi w:val="0"/>
        <w:adjustRightInd/>
        <w:snapToGrid/>
        <w:spacing w:line="600" w:lineRule="exact"/>
        <w:ind w:firstLine="600" w:firstLineChars="200"/>
        <w:textAlignment w:val="auto"/>
        <w:rPr>
          <w:rFonts w:hint="eastAsia" w:ascii="仿宋" w:hAnsi="仿宋" w:eastAsia="仿宋" w:cs="仿宋"/>
          <w:lang w:eastAsia="zh-CN"/>
        </w:rPr>
      </w:pPr>
      <w:r>
        <w:t>下达2023年支持市县科技创新和科学普及专项资金</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tbl>
      <w:tblPr>
        <w:tblStyle w:val="4"/>
        <w:tblpPr w:leftFromText="180" w:rightFromText="180" w:vertAnchor="text" w:horzAnchor="page" w:tblpX="2087" w:tblpY="557"/>
        <w:tblOverlap w:val="never"/>
        <w:tblW w:w="0" w:type="auto"/>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27"/>
        <w:gridCol w:w="1327"/>
        <w:gridCol w:w="1327"/>
        <w:gridCol w:w="2654"/>
        <w:gridCol w:w="132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trPr>
        <w:tc>
          <w:tcPr>
            <w:tcW w:w="1327" w:type="dxa"/>
            <w:vAlign w:val="center"/>
          </w:tcPr>
          <w:p>
            <w:pPr>
              <w:pStyle w:val="14"/>
            </w:pPr>
            <w:bookmarkStart w:id="30" w:name="_Toc14430_WPSOffice_Level1"/>
            <w:r>
              <w:t>一级指标</w:t>
            </w:r>
          </w:p>
        </w:tc>
        <w:tc>
          <w:tcPr>
            <w:tcW w:w="1327" w:type="dxa"/>
            <w:vAlign w:val="center"/>
          </w:tcPr>
          <w:p>
            <w:pPr>
              <w:pStyle w:val="14"/>
            </w:pPr>
            <w:r>
              <w:t>二级指标</w:t>
            </w:r>
          </w:p>
        </w:tc>
        <w:tc>
          <w:tcPr>
            <w:tcW w:w="1327" w:type="dxa"/>
            <w:vAlign w:val="center"/>
          </w:tcPr>
          <w:p>
            <w:pPr>
              <w:pStyle w:val="14"/>
            </w:pPr>
            <w:r>
              <w:t>三级指标</w:t>
            </w:r>
          </w:p>
        </w:tc>
        <w:tc>
          <w:tcPr>
            <w:tcW w:w="2654" w:type="dxa"/>
            <w:vAlign w:val="center"/>
          </w:tcPr>
          <w:p>
            <w:pPr>
              <w:pStyle w:val="14"/>
            </w:pPr>
            <w:r>
              <w:t>绩效指标描述</w:t>
            </w:r>
          </w:p>
        </w:tc>
        <w:tc>
          <w:tcPr>
            <w:tcW w:w="1327"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5"/>
            </w:pPr>
            <w:r>
              <w:t>产出指标</w:t>
            </w:r>
          </w:p>
        </w:tc>
        <w:tc>
          <w:tcPr>
            <w:tcW w:w="1327" w:type="dxa"/>
            <w:vAlign w:val="center"/>
          </w:tcPr>
          <w:p>
            <w:pPr>
              <w:pStyle w:val="16"/>
            </w:pPr>
            <w:r>
              <w:t>数量指标</w:t>
            </w:r>
          </w:p>
        </w:tc>
        <w:tc>
          <w:tcPr>
            <w:tcW w:w="1327" w:type="dxa"/>
            <w:vAlign w:val="center"/>
          </w:tcPr>
          <w:p>
            <w:pPr>
              <w:pStyle w:val="16"/>
            </w:pPr>
            <w:r>
              <w:t>项目数量</w:t>
            </w:r>
          </w:p>
        </w:tc>
        <w:tc>
          <w:tcPr>
            <w:tcW w:w="2654" w:type="dxa"/>
            <w:vAlign w:val="center"/>
          </w:tcPr>
          <w:p>
            <w:pPr>
              <w:pStyle w:val="16"/>
            </w:pPr>
            <w:r>
              <w:t>项目数量</w:t>
            </w:r>
          </w:p>
        </w:tc>
        <w:tc>
          <w:tcPr>
            <w:tcW w:w="1327" w:type="dxa"/>
            <w:vAlign w:val="center"/>
          </w:tcPr>
          <w:p>
            <w:pPr>
              <w:pStyle w:val="16"/>
            </w:pPr>
            <w:r>
              <w:t>4个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质量指标</w:t>
            </w:r>
          </w:p>
        </w:tc>
        <w:tc>
          <w:tcPr>
            <w:tcW w:w="1327" w:type="dxa"/>
            <w:vAlign w:val="center"/>
          </w:tcPr>
          <w:p>
            <w:pPr>
              <w:pStyle w:val="16"/>
            </w:pPr>
            <w:r>
              <w:t>资金发放率</w:t>
            </w:r>
          </w:p>
        </w:tc>
        <w:tc>
          <w:tcPr>
            <w:tcW w:w="2654" w:type="dxa"/>
            <w:vAlign w:val="center"/>
          </w:tcPr>
          <w:p>
            <w:pPr>
              <w:pStyle w:val="16"/>
            </w:pPr>
            <w:r>
              <w:t>资金发放率</w:t>
            </w:r>
          </w:p>
        </w:tc>
        <w:tc>
          <w:tcPr>
            <w:tcW w:w="1327" w:type="dxa"/>
            <w:vAlign w:val="center"/>
          </w:tcPr>
          <w:p>
            <w:pPr>
              <w:pStyle w:val="16"/>
            </w:pPr>
            <w:r>
              <w:t>100百分比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时效指标</w:t>
            </w:r>
          </w:p>
        </w:tc>
        <w:tc>
          <w:tcPr>
            <w:tcW w:w="1327" w:type="dxa"/>
            <w:vAlign w:val="center"/>
          </w:tcPr>
          <w:p>
            <w:pPr>
              <w:pStyle w:val="16"/>
            </w:pPr>
            <w:r>
              <w:t>及时性</w:t>
            </w:r>
          </w:p>
        </w:tc>
        <w:tc>
          <w:tcPr>
            <w:tcW w:w="2654" w:type="dxa"/>
            <w:vAlign w:val="center"/>
          </w:tcPr>
          <w:p>
            <w:pPr>
              <w:pStyle w:val="16"/>
            </w:pPr>
            <w:r>
              <w:t>及时性</w:t>
            </w:r>
          </w:p>
        </w:tc>
        <w:tc>
          <w:tcPr>
            <w:tcW w:w="1327" w:type="dxa"/>
            <w:vAlign w:val="center"/>
          </w:tcPr>
          <w:p>
            <w:pPr>
              <w:pStyle w:val="16"/>
            </w:pPr>
            <w:r>
              <w:t>及时拨付资金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成本指标</w:t>
            </w:r>
          </w:p>
        </w:tc>
        <w:tc>
          <w:tcPr>
            <w:tcW w:w="1327" w:type="dxa"/>
            <w:vAlign w:val="center"/>
          </w:tcPr>
          <w:p>
            <w:pPr>
              <w:pStyle w:val="16"/>
            </w:pPr>
            <w:r>
              <w:t>补助金额</w:t>
            </w:r>
          </w:p>
        </w:tc>
        <w:tc>
          <w:tcPr>
            <w:tcW w:w="2654" w:type="dxa"/>
            <w:vAlign w:val="center"/>
          </w:tcPr>
          <w:p>
            <w:pPr>
              <w:pStyle w:val="16"/>
            </w:pPr>
            <w:r>
              <w:t>补助金额</w:t>
            </w:r>
          </w:p>
        </w:tc>
        <w:tc>
          <w:tcPr>
            <w:tcW w:w="1327" w:type="dxa"/>
            <w:vAlign w:val="center"/>
          </w:tcPr>
          <w:p>
            <w:pPr>
              <w:pStyle w:val="16"/>
            </w:pPr>
            <w:r>
              <w:t>10852423元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restart"/>
            <w:vAlign w:val="center"/>
          </w:tcPr>
          <w:p>
            <w:pPr>
              <w:pStyle w:val="15"/>
            </w:pPr>
            <w:r>
              <w:t>效益指标</w:t>
            </w:r>
          </w:p>
        </w:tc>
        <w:tc>
          <w:tcPr>
            <w:tcW w:w="1327" w:type="dxa"/>
            <w:vAlign w:val="center"/>
          </w:tcPr>
          <w:p>
            <w:pPr>
              <w:pStyle w:val="16"/>
            </w:pPr>
            <w:r>
              <w:t>经济效益指标</w:t>
            </w:r>
          </w:p>
        </w:tc>
        <w:tc>
          <w:tcPr>
            <w:tcW w:w="1327" w:type="dxa"/>
            <w:vAlign w:val="center"/>
          </w:tcPr>
          <w:p>
            <w:pPr>
              <w:pStyle w:val="16"/>
            </w:pPr>
            <w:r>
              <w:t>经济效益指标</w:t>
            </w:r>
          </w:p>
        </w:tc>
        <w:tc>
          <w:tcPr>
            <w:tcW w:w="2654" w:type="dxa"/>
            <w:vAlign w:val="center"/>
          </w:tcPr>
          <w:p>
            <w:pPr>
              <w:pStyle w:val="16"/>
            </w:pPr>
            <w:r>
              <w:t>经济效益指标</w:t>
            </w:r>
          </w:p>
        </w:tc>
        <w:tc>
          <w:tcPr>
            <w:tcW w:w="1327" w:type="dxa"/>
            <w:vAlign w:val="center"/>
          </w:tcPr>
          <w:p>
            <w:pPr>
              <w:pStyle w:val="16"/>
            </w:pPr>
            <w:r>
              <w:t>提高企业申报积极性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社会效益指标</w:t>
            </w:r>
          </w:p>
        </w:tc>
        <w:tc>
          <w:tcPr>
            <w:tcW w:w="1327" w:type="dxa"/>
            <w:vAlign w:val="center"/>
          </w:tcPr>
          <w:p>
            <w:pPr>
              <w:pStyle w:val="16"/>
            </w:pPr>
            <w:r>
              <w:t>社会效益</w:t>
            </w:r>
          </w:p>
        </w:tc>
        <w:tc>
          <w:tcPr>
            <w:tcW w:w="2654" w:type="dxa"/>
            <w:vAlign w:val="center"/>
          </w:tcPr>
          <w:p>
            <w:pPr>
              <w:pStyle w:val="16"/>
            </w:pPr>
            <w:r>
              <w:t>社会效益</w:t>
            </w:r>
          </w:p>
        </w:tc>
        <w:tc>
          <w:tcPr>
            <w:tcW w:w="1327" w:type="dxa"/>
            <w:vAlign w:val="center"/>
          </w:tcPr>
          <w:p>
            <w:pPr>
              <w:pStyle w:val="16"/>
            </w:pPr>
            <w:r>
              <w:t>促进科技政策宣传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生态效益指标</w:t>
            </w:r>
          </w:p>
        </w:tc>
        <w:tc>
          <w:tcPr>
            <w:tcW w:w="1327" w:type="dxa"/>
            <w:vAlign w:val="center"/>
          </w:tcPr>
          <w:p>
            <w:pPr>
              <w:pStyle w:val="16"/>
            </w:pPr>
            <w:r>
              <w:t>生态效益指标</w:t>
            </w:r>
          </w:p>
        </w:tc>
        <w:tc>
          <w:tcPr>
            <w:tcW w:w="2654" w:type="dxa"/>
            <w:vAlign w:val="center"/>
          </w:tcPr>
          <w:p>
            <w:pPr>
              <w:pStyle w:val="16"/>
            </w:pPr>
            <w:r>
              <w:t>生态效益指标</w:t>
            </w:r>
          </w:p>
        </w:tc>
        <w:tc>
          <w:tcPr>
            <w:tcW w:w="1327" w:type="dxa"/>
            <w:vAlign w:val="center"/>
          </w:tcPr>
          <w:p>
            <w:pPr>
              <w:pStyle w:val="16"/>
            </w:pPr>
            <w:r>
              <w:t>不断转好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Merge w:val="continue"/>
            <w:vAlign w:val="center"/>
          </w:tcPr>
          <w:p/>
        </w:tc>
        <w:tc>
          <w:tcPr>
            <w:tcW w:w="1327" w:type="dxa"/>
            <w:vAlign w:val="center"/>
          </w:tcPr>
          <w:p>
            <w:pPr>
              <w:pStyle w:val="16"/>
            </w:pPr>
            <w:r>
              <w:t>可持续影响指标</w:t>
            </w:r>
          </w:p>
        </w:tc>
        <w:tc>
          <w:tcPr>
            <w:tcW w:w="1327" w:type="dxa"/>
            <w:vAlign w:val="center"/>
          </w:tcPr>
          <w:p>
            <w:pPr>
              <w:pStyle w:val="16"/>
            </w:pPr>
            <w:r>
              <w:t>增强影响力</w:t>
            </w:r>
          </w:p>
        </w:tc>
        <w:tc>
          <w:tcPr>
            <w:tcW w:w="2654" w:type="dxa"/>
            <w:vAlign w:val="center"/>
          </w:tcPr>
          <w:p>
            <w:pPr>
              <w:pStyle w:val="16"/>
            </w:pPr>
            <w:r>
              <w:t>增强影响力</w:t>
            </w:r>
          </w:p>
        </w:tc>
        <w:tc>
          <w:tcPr>
            <w:tcW w:w="1327" w:type="dxa"/>
            <w:vAlign w:val="center"/>
          </w:tcPr>
          <w:p>
            <w:pPr>
              <w:pStyle w:val="16"/>
            </w:pPr>
            <w:r>
              <w:t>提高企业积极性</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327" w:type="dxa"/>
            <w:vAlign w:val="center"/>
          </w:tcPr>
          <w:p>
            <w:pPr>
              <w:pStyle w:val="15"/>
            </w:pPr>
            <w:r>
              <w:t>满意度指标</w:t>
            </w:r>
          </w:p>
        </w:tc>
        <w:tc>
          <w:tcPr>
            <w:tcW w:w="1327" w:type="dxa"/>
            <w:vAlign w:val="center"/>
          </w:tcPr>
          <w:p>
            <w:pPr>
              <w:pStyle w:val="16"/>
            </w:pPr>
            <w:r>
              <w:t>服务对象满意度指标</w:t>
            </w:r>
          </w:p>
        </w:tc>
        <w:tc>
          <w:tcPr>
            <w:tcW w:w="1327" w:type="dxa"/>
            <w:vAlign w:val="center"/>
          </w:tcPr>
          <w:p>
            <w:pPr>
              <w:pStyle w:val="16"/>
            </w:pPr>
            <w:r>
              <w:t>满意率</w:t>
            </w:r>
          </w:p>
        </w:tc>
        <w:tc>
          <w:tcPr>
            <w:tcW w:w="2654" w:type="dxa"/>
            <w:vAlign w:val="center"/>
          </w:tcPr>
          <w:p>
            <w:pPr>
              <w:pStyle w:val="16"/>
            </w:pPr>
            <w:r>
              <w:t>满意率</w:t>
            </w:r>
          </w:p>
        </w:tc>
        <w:tc>
          <w:tcPr>
            <w:tcW w:w="1327" w:type="dxa"/>
            <w:vAlign w:val="center"/>
          </w:tcPr>
          <w:p>
            <w:pPr>
              <w:pStyle w:val="16"/>
            </w:pPr>
            <w:r>
              <w:t>≥80百分比</w:t>
            </w:r>
          </w:p>
        </w:tc>
      </w:tr>
    </w:tbl>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w:t>
      </w:r>
      <w:r>
        <w:rPr>
          <w:rFonts w:hint="eastAsia" w:ascii="仿宋" w:hAnsi="仿宋" w:eastAsia="仿宋" w:cs="仿宋"/>
          <w:sz w:val="32"/>
          <w:szCs w:val="32"/>
          <w:lang w:val="en-US" w:eastAsia="zh-CN"/>
        </w:rPr>
        <w:t>10</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w:t>
      </w:r>
      <w:r>
        <w:rPr>
          <w:rFonts w:hint="eastAsia" w:ascii="仿宋" w:hAnsi="仿宋" w:eastAsia="仿宋" w:cs="仿宋"/>
          <w:sz w:val="32"/>
          <w:szCs w:val="32"/>
          <w:lang w:val="en-US" w:eastAsia="zh-CN"/>
        </w:rPr>
        <w:t>3分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5分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w:t>
      </w:r>
      <w:r>
        <w:rPr>
          <w:rFonts w:hint="eastAsia" w:ascii="仿宋" w:hAnsi="仿宋" w:eastAsia="仿宋" w:cs="仿宋"/>
          <w:sz w:val="32"/>
          <w:szCs w:val="32"/>
          <w:lang w:val="en-US" w:eastAsia="zh-CN"/>
        </w:rPr>
        <w:t>2分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10分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5</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5</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40</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w:t>
      </w:r>
      <w:r>
        <w:rPr>
          <w:rFonts w:hint="eastAsia" w:ascii="仿宋" w:hAnsi="仿宋" w:eastAsia="仿宋" w:cs="仿宋"/>
          <w:sz w:val="32"/>
          <w:szCs w:val="32"/>
          <w:lang w:val="en-US" w:eastAsia="zh-CN"/>
        </w:rPr>
        <w:t>10</w:t>
      </w:r>
      <w:r>
        <w:rPr>
          <w:rFonts w:hint="eastAsia" w:ascii="仿宋" w:hAnsi="仿宋" w:eastAsia="仿宋" w:cs="仿宋"/>
          <w:sz w:val="32"/>
          <w:szCs w:val="32"/>
        </w:rPr>
        <w:t>分。项目实施的实际产出数与计划产出数的比率相符。产出质量</w:t>
      </w:r>
      <w:r>
        <w:rPr>
          <w:rFonts w:hint="eastAsia" w:ascii="仿宋" w:hAnsi="仿宋" w:eastAsia="仿宋" w:cs="仿宋"/>
          <w:sz w:val="32"/>
          <w:szCs w:val="32"/>
          <w:lang w:val="en-US" w:eastAsia="zh-CN"/>
        </w:rPr>
        <w:t>10</w:t>
      </w:r>
      <w:r>
        <w:rPr>
          <w:rFonts w:hint="eastAsia" w:ascii="仿宋" w:hAnsi="仿宋" w:eastAsia="仿宋" w:cs="仿宋"/>
          <w:sz w:val="32"/>
          <w:szCs w:val="32"/>
        </w:rPr>
        <w:t>分。质量达标产出数一定时期（本年度或项目期）内实际达到既定质量标准的产品或服务数量。产出时效</w:t>
      </w:r>
      <w:r>
        <w:rPr>
          <w:rFonts w:hint="eastAsia" w:ascii="仿宋" w:hAnsi="仿宋" w:eastAsia="仿宋" w:cs="仿宋"/>
          <w:sz w:val="32"/>
          <w:szCs w:val="32"/>
          <w:lang w:val="en-US" w:eastAsia="zh-CN"/>
        </w:rPr>
        <w:t>10</w:t>
      </w:r>
      <w:r>
        <w:rPr>
          <w:rFonts w:hint="eastAsia" w:ascii="仿宋" w:hAnsi="仿宋" w:eastAsia="仿宋" w:cs="仿宋"/>
          <w:sz w:val="32"/>
          <w:szCs w:val="32"/>
        </w:rPr>
        <w:t>分。实际完成时间、计划完成时间反映和考核项目产出时效目标的实现程度。产出成本</w:t>
      </w:r>
      <w:r>
        <w:rPr>
          <w:rFonts w:hint="eastAsia" w:ascii="仿宋" w:hAnsi="仿宋" w:eastAsia="仿宋" w:cs="仿宋"/>
          <w:sz w:val="32"/>
          <w:szCs w:val="32"/>
          <w:lang w:val="en-US" w:eastAsia="zh-CN"/>
        </w:rPr>
        <w:t>10</w:t>
      </w:r>
      <w:r>
        <w:rPr>
          <w:rFonts w:hint="eastAsia" w:ascii="仿宋" w:hAnsi="仿宋" w:eastAsia="仿宋" w:cs="仿宋"/>
          <w:sz w:val="32"/>
          <w:szCs w:val="32"/>
        </w:rPr>
        <w:t>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val="en-US" w:eastAsia="zh-CN"/>
        </w:rPr>
        <w:t>40</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40</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w:t>
      </w:r>
      <w:r>
        <w:rPr>
          <w:rFonts w:hint="eastAsia" w:ascii="仿宋" w:hAnsi="仿宋" w:eastAsia="仿宋" w:cs="仿宋"/>
          <w:sz w:val="32"/>
          <w:szCs w:val="32"/>
          <w:lang w:eastAsia="zh-CN"/>
        </w:rPr>
        <w:t>、</w:t>
      </w:r>
      <w:r>
        <w:rPr>
          <w:rFonts w:hint="eastAsia" w:ascii="仿宋" w:hAnsi="仿宋" w:eastAsia="仿宋" w:cs="仿宋"/>
          <w:sz w:val="32"/>
          <w:szCs w:val="32"/>
        </w:rPr>
        <w:t>财、物的消耗，确保申报预算的科学性、准确性，同时预算申报要与项目绩效目标进行结合，确保预算与产出目标匹配一致，最终保障项目的实施按计划执行，并能最终进行量化考核。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流程；其次，要确定绩效目标与实际工作的联系，绩效目标的设定既要能与实际工作紧密联系，又要能清晰反映预算资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00"/>
    <w:family w:val="auto"/>
    <w:pitch w:val="default"/>
    <w:sig w:usb0="00000000" w:usb1="00000000" w:usb2="00000000" w:usb3="00000000" w:csb0="00000000" w:csb1="00000000"/>
  </w:font>
  <w:font w:name="方正书宋_GBK">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1E16504"/>
    <w:rsid w:val="087E5ED6"/>
    <w:rsid w:val="0D8A30E5"/>
    <w:rsid w:val="10344175"/>
    <w:rsid w:val="10950344"/>
    <w:rsid w:val="14C544DE"/>
    <w:rsid w:val="18316FEC"/>
    <w:rsid w:val="18D03BC3"/>
    <w:rsid w:val="19730045"/>
    <w:rsid w:val="1BB50B4F"/>
    <w:rsid w:val="1CD83AD4"/>
    <w:rsid w:val="221D20A3"/>
    <w:rsid w:val="28E31734"/>
    <w:rsid w:val="298D64D6"/>
    <w:rsid w:val="2E722C7C"/>
    <w:rsid w:val="2EBC5DD8"/>
    <w:rsid w:val="2F7D571C"/>
    <w:rsid w:val="3AD62F4A"/>
    <w:rsid w:val="3E606C0D"/>
    <w:rsid w:val="3F625A53"/>
    <w:rsid w:val="3FC64A7F"/>
    <w:rsid w:val="485F3886"/>
    <w:rsid w:val="4A091AF1"/>
    <w:rsid w:val="4C513BE2"/>
    <w:rsid w:val="4DE64FC7"/>
    <w:rsid w:val="500752BA"/>
    <w:rsid w:val="56494559"/>
    <w:rsid w:val="5A392CCC"/>
    <w:rsid w:val="5AA07882"/>
    <w:rsid w:val="61A31F77"/>
    <w:rsid w:val="6206466E"/>
    <w:rsid w:val="6A5C42C4"/>
    <w:rsid w:val="6A7F14C0"/>
    <w:rsid w:val="6CBA76B1"/>
    <w:rsid w:val="6F722BE7"/>
    <w:rsid w:val="79E71295"/>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 w:type="paragraph" w:customStyle="1" w:styleId="13">
    <w:name w:val="插入文本样式-插入部门职责文件"/>
    <w:basedOn w:val="1"/>
    <w:qFormat/>
    <w:uiPriority w:val="0"/>
    <w:pPr>
      <w:widowControl/>
      <w:spacing w:line="500" w:lineRule="exact"/>
      <w:ind w:firstLine="560"/>
      <w:jc w:val="left"/>
    </w:pPr>
    <w:rPr>
      <w:rFonts w:eastAsia="方正仿宋_GBK"/>
      <w:kern w:val="0"/>
      <w:sz w:val="28"/>
      <w:lang w:eastAsia="uk-UA"/>
    </w:rPr>
  </w:style>
  <w:style w:type="paragraph" w:customStyle="1" w:styleId="14">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5">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 w:type="paragraph" w:customStyle="1" w:styleId="16">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6</TotalTime>
  <ScaleCrop>false</ScaleCrop>
  <LinksUpToDate>false</LinksUpToDate>
  <CharactersWithSpaces>2761</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2024-04-26T01:19:12Z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0C372902E0124971A704AE0AC85A1478</vt:lpwstr>
  </property>
</Properties>
</file>