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adjustRightInd w:val="0"/>
        <w:snapToGrid w:val="0"/>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社会邪教防范处理工作经费</w:t>
      </w:r>
      <w:r>
        <w:rPr>
          <w:rFonts w:hint="eastAsia" w:ascii="方正小标宋_GBK" w:hAnsi="宋体" w:eastAsia="方正小标宋_GBK" w:cs="宋体"/>
          <w:bCs/>
          <w:kern w:val="0"/>
          <w:sz w:val="44"/>
          <w:szCs w:val="44"/>
        </w:rPr>
        <w:t>项目</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rPr>
      </w:pPr>
      <w:bookmarkStart w:id="0" w:name="_GoBack"/>
      <w:bookmarkEnd w:id="0"/>
      <w:r>
        <w:rPr>
          <w:rFonts w:hint="eastAsia" w:ascii="仿宋_GB2312" w:eastAsia="仿宋_GB2312"/>
          <w:sz w:val="32"/>
          <w:szCs w:val="32"/>
        </w:rPr>
        <w:t>（一）项目概况。</w:t>
      </w:r>
      <w:r>
        <w:rPr>
          <w:rFonts w:ascii="仿宋" w:hAnsi="仿宋" w:eastAsia="仿宋"/>
          <w:sz w:val="32"/>
          <w:lang w:eastAsia="zh-CN"/>
        </w:rPr>
        <w:t>负责全县法轮功及邪教防范工作,经费应列入本级财政预算。</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r>
        <w:rPr>
          <w:rFonts w:hint="eastAsia" w:ascii="仿宋" w:hAnsi="仿宋" w:eastAsia="仿宋"/>
          <w:sz w:val="32"/>
          <w:szCs w:val="32"/>
        </w:rPr>
        <w:t>通过指导、协调和督导各级各部门，预防减少不稳定因素的发生，有效化解不稳定隐患、群体性事件和突发事件，全力做好县内各种重大活动安保工作，深挖打击邪教顽固分子，教育转化重点人员，确保社会稳定。</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1、效果指标－社会效益指标－通过实施转化政策促进社会稳定水平逐步提高，指标值为&gt;＝90%。</w:t>
      </w:r>
      <w:r>
        <w:rPr>
          <w:rFonts w:hint="eastAsia" w:ascii="仿宋_GB2312" w:eastAsia="仿宋_GB2312"/>
          <w:sz w:val="32"/>
          <w:szCs w:val="32"/>
          <w:lang w:val="en-US" w:eastAsia="zh-CN"/>
        </w:rPr>
        <w:t>2</w:t>
      </w:r>
      <w:r>
        <w:rPr>
          <w:rFonts w:hint="eastAsia" w:ascii="仿宋_GB2312" w:eastAsia="仿宋_GB2312"/>
          <w:sz w:val="32"/>
          <w:szCs w:val="32"/>
          <w:lang w:eastAsia="zh-CN"/>
        </w:rPr>
        <w:t>、产出指标-转化率-转化人员占总人数的比例，指标值为&gt;＝90%。以上指标依据上级相关文件规定。</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满意度指标－服务对象满意度－接受教育的重点人群对教育的满意程度，指标值为&gt;＝90%。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28D27802"/>
    <w:rsid w:val="4595474B"/>
    <w:rsid w:val="47E933C2"/>
    <w:rsid w:val="49D67DF9"/>
    <w:rsid w:val="4C314DA8"/>
    <w:rsid w:val="51D879E2"/>
    <w:rsid w:val="52F21BE1"/>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4</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2024-04-18T08:13:42Z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8C21C507F90B4E8DAC1845B211675657</vt:lpwstr>
  </property>
</Properties>
</file>