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adjustRightInd w:val="0"/>
        <w:snapToGrid w:val="0"/>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稳定工作经费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w:t>
      </w:r>
      <w:bookmarkStart w:id="0" w:name="_GoBack"/>
      <w:bookmarkEnd w:id="0"/>
      <w:r>
        <w:rPr>
          <w:rFonts w:hint="eastAsia" w:ascii="仿宋_GB2312" w:eastAsia="仿宋_GB2312"/>
          <w:sz w:val="32"/>
          <w:szCs w:val="32"/>
        </w:rPr>
        <w:t>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ascii="仿宋" w:hAnsi="仿宋" w:eastAsia="仿宋"/>
          <w:sz w:val="32"/>
          <w:lang w:eastAsia="zh-CN"/>
        </w:rPr>
        <w:t>主要用于重点时期对特殊群体稳控、赴省进京接访费用。</w:t>
      </w:r>
    </w:p>
    <w:p>
      <w:pPr>
        <w:spacing w:line="580" w:lineRule="exact"/>
        <w:ind w:firstLine="630"/>
        <w:rPr>
          <w:rFonts w:hint="eastAsia"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szCs w:val="32"/>
        </w:rPr>
        <w:t>指导、协调和督导全县各级各部门排查、化解影响社会的重大不稳定隐患、群体性事件和突发事件及影响社会稳定的事件。</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1、效果指标－社会效益指标－社会稳定水平，指标值为&gt;＝90%。2、产出指标-调解率-当年接访任务完成情况，指标值为&gt;＝90%。以上指标依据上级</w:t>
      </w:r>
      <w:r>
        <w:rPr>
          <w:rFonts w:ascii="仿宋" w:hAnsi="仿宋" w:eastAsia="仿宋"/>
          <w:sz w:val="32"/>
          <w:lang w:eastAsia="zh-CN"/>
        </w:rPr>
        <w:t>相</w:t>
      </w:r>
      <w:r>
        <w:rPr>
          <w:rFonts w:ascii="仿宋_GB2312" w:hAnsi="仿宋_GB2312" w:eastAsia="仿宋_GB2312"/>
          <w:sz w:val="32"/>
          <w:lang w:eastAsia="zh-CN"/>
        </w:rPr>
        <w:t>关文件规定。</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满意度指标－服务对象满意度－群众对当年接访的整体满意度，指标值为&gt;＝90%。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FDB57A4"/>
    <w:rsid w:val="1FE0451C"/>
    <w:rsid w:val="3A9926A8"/>
    <w:rsid w:val="4595474B"/>
    <w:rsid w:val="49D67DF9"/>
    <w:rsid w:val="51D879E2"/>
    <w:rsid w:val="52F21BE1"/>
    <w:rsid w:val="63AF0C61"/>
    <w:rsid w:val="75E12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F1BC60EB257B4633AF8CCF72DF98DF4A</vt:lpwstr>
  </property>
</Properties>
</file>