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framePr w:w="8328" w:h="1334" w:hRule="exact" w:wrap="around" w:vAnchor="page" w:hAnchor="page" w:x="1803" w:y="3162"/>
        <w:widowControl w:val="0"/>
        <w:shd w:val="clear" w:color="auto" w:fill="auto"/>
        <w:kinsoku/>
        <w:wordWrap/>
        <w:overflowPunct/>
        <w:topLinePunct w:val="0"/>
        <w:autoSpaceDE/>
        <w:autoSpaceDN/>
        <w:bidi w:val="0"/>
        <w:adjustRightInd/>
        <w:snapToGrid/>
        <w:spacing w:before="0" w:after="0" w:line="700" w:lineRule="exact"/>
        <w:ind w:left="0" w:right="0" w:firstLine="0"/>
        <w:jc w:val="center"/>
        <w:textAlignment w:val="auto"/>
        <w:rPr>
          <w:rFonts w:hint="eastAsia" w:ascii="黑体" w:hAnsi="黑体" w:eastAsia="黑体" w:cs="黑体"/>
          <w:b/>
          <w:bCs/>
          <w:sz w:val="72"/>
          <w:szCs w:val="72"/>
        </w:rPr>
      </w:pPr>
      <w:r>
        <w:rPr>
          <w:rFonts w:hint="eastAsia" w:ascii="黑体" w:hAnsi="黑体" w:eastAsia="黑体" w:cs="黑体"/>
          <w:b/>
          <w:bCs/>
          <w:color w:val="000000"/>
          <w:spacing w:val="0"/>
          <w:w w:val="100"/>
          <w:position w:val="0"/>
          <w:sz w:val="72"/>
          <w:szCs w:val="72"/>
        </w:rPr>
        <w:t>20</w:t>
      </w:r>
      <w:r>
        <w:rPr>
          <w:rFonts w:hint="eastAsia" w:ascii="黑体" w:hAnsi="黑体" w:eastAsia="黑体" w:cs="黑体"/>
          <w:b/>
          <w:bCs/>
          <w:color w:val="000000"/>
          <w:spacing w:val="0"/>
          <w:w w:val="100"/>
          <w:position w:val="0"/>
          <w:sz w:val="72"/>
          <w:szCs w:val="72"/>
          <w:lang w:val="en-US" w:eastAsia="zh-CN"/>
        </w:rPr>
        <w:t>23</w:t>
      </w:r>
      <w:r>
        <w:rPr>
          <w:rFonts w:hint="eastAsia" w:ascii="黑体" w:hAnsi="黑体" w:eastAsia="黑体" w:cs="黑体"/>
          <w:b/>
          <w:bCs/>
          <w:color w:val="000000"/>
          <w:spacing w:val="0"/>
          <w:w w:val="100"/>
          <w:position w:val="0"/>
          <w:sz w:val="72"/>
          <w:szCs w:val="72"/>
        </w:rPr>
        <w:t>年度重点项目支出</w:t>
      </w:r>
      <w:r>
        <w:rPr>
          <w:rFonts w:hint="eastAsia" w:ascii="黑体" w:hAnsi="黑体" w:eastAsia="黑体" w:cs="黑体"/>
          <w:b/>
          <w:bCs/>
          <w:color w:val="000000"/>
          <w:spacing w:val="0"/>
          <w:w w:val="100"/>
          <w:position w:val="0"/>
          <w:sz w:val="72"/>
          <w:szCs w:val="72"/>
        </w:rPr>
        <w:br w:type="textWrapping"/>
      </w:r>
      <w:r>
        <w:rPr>
          <w:rFonts w:hint="eastAsia" w:ascii="黑体" w:hAnsi="黑体" w:eastAsia="黑体" w:cs="黑体"/>
          <w:b/>
          <w:bCs/>
          <w:color w:val="000000"/>
          <w:spacing w:val="0"/>
          <w:w w:val="100"/>
          <w:position w:val="0"/>
          <w:sz w:val="72"/>
          <w:szCs w:val="72"/>
        </w:rPr>
        <w:t>绩效评价报告</w:t>
      </w:r>
    </w:p>
    <w:p>
      <w:pPr>
        <w:jc w:val="center"/>
        <w:rPr>
          <w:rFonts w:hint="eastAsia" w:ascii="宋体" w:hAnsi="宋体" w:eastAsia="宋体" w:cs="Arial"/>
          <w:b/>
          <w:bCs/>
          <w:sz w:val="36"/>
          <w:szCs w:val="36"/>
          <w:lang w:val="en-US" w:eastAsia="zh-CN"/>
        </w:rPr>
      </w:pPr>
    </w:p>
    <w:p>
      <w:pPr>
        <w:jc w:val="both"/>
        <w:rPr>
          <w:rFonts w:hint="eastAsia" w:ascii="楷体" w:hAnsi="楷体" w:eastAsia="楷体" w:cs="楷体"/>
          <w:b/>
          <w:bCs/>
          <w:sz w:val="48"/>
          <w:szCs w:val="48"/>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43" w:lineRule="exact"/>
        <w:ind w:right="0"/>
        <w:jc w:val="both"/>
        <w:rPr>
          <w:rFonts w:hint="default" w:ascii="仿宋" w:hAnsi="仿宋" w:eastAsia="仿宋" w:cs="仿宋"/>
          <w:sz w:val="36"/>
          <w:szCs w:val="36"/>
          <w:u w:val="single"/>
          <w:lang w:val="en-US" w:eastAsia="zh-CN"/>
        </w:rPr>
      </w:pPr>
      <w:r>
        <w:rPr>
          <w:rFonts w:hint="eastAsia" w:ascii="仿宋" w:hAnsi="仿宋" w:eastAsia="仿宋" w:cs="仿宋"/>
          <w:color w:val="000000"/>
          <w:spacing w:val="0"/>
          <w:w w:val="100"/>
          <w:position w:val="0"/>
          <w:sz w:val="36"/>
          <w:szCs w:val="36"/>
        </w:rPr>
        <w:t>项目名称：</w:t>
      </w:r>
      <w:r>
        <w:rPr>
          <w:rFonts w:hint="eastAsia" w:ascii="仿宋" w:hAnsi="仿宋" w:eastAsia="仿宋" w:cs="仿宋"/>
          <w:color w:val="000000"/>
          <w:spacing w:val="0"/>
          <w:w w:val="100"/>
          <w:position w:val="0"/>
          <w:sz w:val="36"/>
          <w:szCs w:val="36"/>
          <w:u w:val="single"/>
          <w:lang w:val="en-US" w:eastAsia="zh-CN"/>
        </w:rPr>
        <w:t xml:space="preserve">      扫黑除恶专项斗争工作经费                          </w:t>
      </w:r>
    </w:p>
    <w:p>
      <w:pPr>
        <w:pStyle w:val="10"/>
        <w:keepNext w:val="0"/>
        <w:keepLines w:val="0"/>
        <w:framePr w:w="8328" w:h="4402" w:hRule="exact" w:wrap="around" w:vAnchor="page" w:hAnchor="page" w:x="1826" w:y="9954"/>
        <w:widowControl w:val="0"/>
        <w:shd w:val="clear" w:color="auto" w:fill="auto"/>
        <w:bidi w:val="0"/>
        <w:spacing w:before="0" w:after="0" w:line="600" w:lineRule="exact"/>
        <w:ind w:left="360" w:leftChars="120" w:right="0" w:firstLine="118" w:firstLineChars="33"/>
        <w:jc w:val="both"/>
        <w:rPr>
          <w:rFonts w:hint="default" w:ascii="仿宋" w:hAnsi="仿宋" w:eastAsia="仿宋" w:cs="仿宋"/>
          <w:color w:val="000000"/>
          <w:spacing w:val="0"/>
          <w:w w:val="100"/>
          <w:position w:val="0"/>
          <w:sz w:val="36"/>
          <w:szCs w:val="36"/>
          <w:lang w:val="en-US" w:eastAsia="zh-CN"/>
        </w:rPr>
      </w:pPr>
      <w:r>
        <w:rPr>
          <w:rFonts w:hint="eastAsia" w:ascii="仿宋" w:hAnsi="仿宋" w:eastAsia="仿宋" w:cs="仿宋"/>
          <w:color w:val="000000"/>
          <w:spacing w:val="0"/>
          <w:w w:val="100"/>
          <w:position w:val="0"/>
          <w:sz w:val="36"/>
          <w:szCs w:val="36"/>
        </w:rPr>
        <w:t>主管部门（公章）：</w:t>
      </w:r>
      <w:r>
        <w:rPr>
          <w:rFonts w:hint="eastAsia" w:ascii="仿宋" w:hAnsi="仿宋" w:eastAsia="仿宋" w:cs="仿宋"/>
          <w:color w:val="000000"/>
          <w:spacing w:val="0"/>
          <w:w w:val="100"/>
          <w:position w:val="0"/>
          <w:sz w:val="36"/>
          <w:szCs w:val="36"/>
          <w:u w:val="single"/>
          <w:lang w:val="en-US" w:eastAsia="zh-CN"/>
        </w:rPr>
        <w:t xml:space="preserve">中国共产党玉田县委员会政法委员会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default" w:ascii="仿宋" w:hAnsi="仿宋" w:eastAsia="仿宋" w:cs="仿宋"/>
          <w:sz w:val="36"/>
          <w:szCs w:val="36"/>
          <w:lang w:val="en-US" w:eastAsia="zh-CN"/>
        </w:rPr>
      </w:pPr>
      <w:r>
        <w:rPr>
          <w:rFonts w:hint="eastAsia" w:ascii="仿宋" w:hAnsi="仿宋" w:eastAsia="仿宋" w:cs="仿宋"/>
          <w:color w:val="000000"/>
          <w:spacing w:val="0"/>
          <w:w w:val="100"/>
          <w:position w:val="0"/>
          <w:sz w:val="36"/>
          <w:szCs w:val="36"/>
        </w:rPr>
        <w:t>项目负责人：</w:t>
      </w:r>
      <w:r>
        <w:rPr>
          <w:rFonts w:hint="eastAsia" w:ascii="仿宋" w:hAnsi="仿宋" w:eastAsia="仿宋" w:cs="仿宋"/>
          <w:color w:val="000000"/>
          <w:spacing w:val="0"/>
          <w:w w:val="100"/>
          <w:position w:val="0"/>
          <w:sz w:val="36"/>
          <w:szCs w:val="36"/>
          <w:u w:val="single"/>
          <w:lang w:val="en-US" w:eastAsia="zh-CN"/>
        </w:rPr>
        <w:t xml:space="preserve">  艾静玉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rPr>
        <w:t>联系电话：</w:t>
      </w:r>
      <w:r>
        <w:rPr>
          <w:rFonts w:hint="eastAsia" w:ascii="仿宋" w:hAnsi="仿宋" w:eastAsia="仿宋" w:cs="仿宋"/>
          <w:color w:val="000000"/>
          <w:spacing w:val="0"/>
          <w:w w:val="100"/>
          <w:position w:val="0"/>
          <w:sz w:val="36"/>
          <w:szCs w:val="36"/>
          <w:u w:val="single"/>
          <w:lang w:val="en-US" w:eastAsia="zh-CN"/>
        </w:rPr>
        <w:t xml:space="preserve">        0315-6112093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firstLine="2988" w:firstLineChars="830"/>
        <w:jc w:val="left"/>
        <w:rPr>
          <w:rFonts w:hint="default"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u w:val="single"/>
          <w:lang w:val="en-US" w:eastAsia="zh-CN"/>
        </w:rPr>
        <w:t>2023年3月10日</w:t>
      </w: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bookmarkStart w:id="38" w:name="_GoBack"/>
      <w:bookmarkEnd w:id="38"/>
    </w:p>
    <w:p>
      <w:pPr>
        <w:jc w:val="center"/>
        <w:rPr>
          <w:rFonts w:hint="eastAsia" w:ascii="宋体" w:hAnsi="宋体" w:eastAsia="宋体" w:cs="Arial"/>
          <w:b/>
          <w:bCs/>
          <w:sz w:val="36"/>
          <w:szCs w:val="36"/>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bookmarkStart w:id="0" w:name="_Toc18411_WPSOffice_Type3"/>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r>
        <w:rPr>
          <w:rFonts w:hint="eastAsia" w:ascii="仿宋" w:hAnsi="仿宋" w:eastAsia="仿宋" w:cs="仿宋"/>
          <w:b/>
          <w:bCs/>
          <w:sz w:val="52"/>
          <w:szCs w:val="52"/>
        </w:rPr>
        <w:t>目录</w:t>
      </w: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_Toc30176_WPSOffice_Level1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一、部门职责</w:t>
      </w:r>
      <w:r>
        <w:rPr>
          <w:rFonts w:hint="eastAsia" w:ascii="仿宋" w:hAnsi="仿宋" w:eastAsia="仿宋" w:cs="仿宋"/>
          <w:sz w:val="28"/>
          <w:szCs w:val="28"/>
        </w:rPr>
        <w:tab/>
      </w:r>
      <w:bookmarkStart w:id="1" w:name="_Toc30176_WPSOffice_Level1Page"/>
      <w:r>
        <w:rPr>
          <w:rFonts w:hint="eastAsia" w:ascii="仿宋" w:hAnsi="仿宋" w:eastAsia="仿宋" w:cs="仿宋"/>
          <w:sz w:val="28"/>
          <w:szCs w:val="28"/>
        </w:rPr>
        <w:t>2</w:t>
      </w:r>
      <w:bookmarkEnd w:id="1"/>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_Toc31309_WPSOffice_Level1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二、绩效评价工作开展情况</w:t>
      </w:r>
      <w:r>
        <w:rPr>
          <w:rFonts w:hint="eastAsia" w:ascii="仿宋" w:hAnsi="仿宋" w:eastAsia="仿宋" w:cs="仿宋"/>
          <w:sz w:val="28"/>
          <w:szCs w:val="28"/>
        </w:rPr>
        <w:tab/>
      </w:r>
      <w:bookmarkStart w:id="2" w:name="_Toc31309_WPSOffice_Level1Page"/>
      <w:r>
        <w:rPr>
          <w:rFonts w:hint="eastAsia" w:ascii="仿宋" w:hAnsi="仿宋" w:eastAsia="仿宋" w:cs="仿宋"/>
          <w:sz w:val="28"/>
          <w:szCs w:val="28"/>
        </w:rPr>
        <w:t>3</w:t>
      </w:r>
      <w:bookmarkEnd w:id="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_Toc4762_WPSOffice_Level2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（一）绩效评价目的与原则</w:t>
      </w:r>
      <w:r>
        <w:rPr>
          <w:rFonts w:hint="eastAsia" w:ascii="仿宋" w:hAnsi="仿宋" w:eastAsia="仿宋" w:cs="仿宋"/>
          <w:sz w:val="28"/>
          <w:szCs w:val="28"/>
        </w:rPr>
        <w:tab/>
      </w:r>
      <w:bookmarkStart w:id="3" w:name="_Toc4762_WPSOffice_Level2Page"/>
      <w:r>
        <w:rPr>
          <w:rFonts w:hint="eastAsia" w:ascii="仿宋" w:hAnsi="仿宋" w:eastAsia="仿宋" w:cs="仿宋"/>
          <w:sz w:val="28"/>
          <w:szCs w:val="28"/>
        </w:rPr>
        <w:t>3</w:t>
      </w:r>
      <w:bookmarkEnd w:id="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_Toc27178_WPSOffice_Level2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（二）评价依据</w:t>
      </w:r>
      <w:r>
        <w:rPr>
          <w:rFonts w:hint="eastAsia" w:ascii="仿宋" w:hAnsi="仿宋" w:eastAsia="仿宋" w:cs="仿宋"/>
          <w:sz w:val="28"/>
          <w:szCs w:val="28"/>
        </w:rPr>
        <w:tab/>
      </w:r>
      <w:bookmarkStart w:id="4" w:name="_Toc27178_WPSOffice_Level2Page"/>
      <w:r>
        <w:rPr>
          <w:rFonts w:hint="eastAsia" w:ascii="仿宋" w:hAnsi="仿宋" w:eastAsia="仿宋" w:cs="仿宋"/>
          <w:sz w:val="28"/>
          <w:szCs w:val="28"/>
        </w:rPr>
        <w:t>3</w:t>
      </w:r>
      <w:bookmarkEnd w:id="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_Toc3714_WPSOffice_Level2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（三）评价思路与程序</w:t>
      </w:r>
      <w:r>
        <w:rPr>
          <w:rFonts w:hint="eastAsia" w:ascii="仿宋" w:hAnsi="仿宋" w:eastAsia="仿宋" w:cs="仿宋"/>
          <w:sz w:val="28"/>
          <w:szCs w:val="28"/>
        </w:rPr>
        <w:tab/>
      </w:r>
      <w:bookmarkStart w:id="5" w:name="_Toc3714_WPSOffice_Level2Page"/>
      <w:r>
        <w:rPr>
          <w:rFonts w:hint="eastAsia" w:ascii="仿宋" w:hAnsi="仿宋" w:eastAsia="仿宋" w:cs="仿宋"/>
          <w:sz w:val="28"/>
          <w:szCs w:val="28"/>
        </w:rPr>
        <w:t>4</w:t>
      </w:r>
      <w:bookmarkEnd w:id="5"/>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_Toc15123_WPSOffice_Level2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（四）本次绩效评价的局限性</w:t>
      </w:r>
      <w:r>
        <w:rPr>
          <w:rFonts w:hint="eastAsia" w:ascii="仿宋" w:hAnsi="仿宋" w:eastAsia="仿宋" w:cs="仿宋"/>
          <w:sz w:val="28"/>
          <w:szCs w:val="28"/>
        </w:rPr>
        <w:tab/>
      </w:r>
      <w:bookmarkStart w:id="6" w:name="_Toc15123_WPSOffice_Level2Page"/>
      <w:r>
        <w:rPr>
          <w:rFonts w:hint="eastAsia" w:ascii="仿宋" w:hAnsi="仿宋" w:eastAsia="仿宋" w:cs="仿宋"/>
          <w:sz w:val="28"/>
          <w:szCs w:val="28"/>
        </w:rPr>
        <w:t>4</w:t>
      </w:r>
      <w:bookmarkEnd w:id="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_Toc22655_WPSOffice_Level1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三、项目总体情况</w:t>
      </w:r>
      <w:r>
        <w:rPr>
          <w:rFonts w:hint="eastAsia" w:ascii="仿宋" w:hAnsi="仿宋" w:eastAsia="仿宋" w:cs="仿宋"/>
          <w:sz w:val="28"/>
          <w:szCs w:val="28"/>
        </w:rPr>
        <w:tab/>
      </w:r>
      <w:bookmarkStart w:id="7" w:name="_Toc22655_WPSOffice_Level1Page"/>
      <w:r>
        <w:rPr>
          <w:rFonts w:hint="eastAsia" w:ascii="仿宋" w:hAnsi="仿宋" w:eastAsia="仿宋" w:cs="仿宋"/>
          <w:sz w:val="28"/>
          <w:szCs w:val="28"/>
        </w:rPr>
        <w:t>5</w:t>
      </w:r>
      <w:bookmarkEnd w:id="7"/>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_Toc1808_WPSOffice_Level2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（一）立项背景及目的</w:t>
      </w:r>
      <w:r>
        <w:rPr>
          <w:rFonts w:hint="eastAsia" w:ascii="仿宋" w:hAnsi="仿宋" w:eastAsia="仿宋" w:cs="仿宋"/>
          <w:sz w:val="28"/>
          <w:szCs w:val="28"/>
        </w:rPr>
        <w:tab/>
      </w:r>
      <w:bookmarkStart w:id="8" w:name="_Toc1808_WPSOffice_Level2Page"/>
      <w:r>
        <w:rPr>
          <w:rFonts w:hint="eastAsia" w:ascii="仿宋" w:hAnsi="仿宋" w:eastAsia="仿宋" w:cs="仿宋"/>
          <w:sz w:val="28"/>
          <w:szCs w:val="28"/>
        </w:rPr>
        <w:t>5</w:t>
      </w:r>
      <w:bookmarkEnd w:id="8"/>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_Toc22094_WPSOffice_Level2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 项目总体绩效目标</w:t>
      </w:r>
      <w:r>
        <w:rPr>
          <w:rFonts w:hint="eastAsia" w:ascii="仿宋" w:hAnsi="仿宋" w:eastAsia="仿宋" w:cs="仿宋"/>
          <w:sz w:val="28"/>
          <w:szCs w:val="28"/>
        </w:rPr>
        <w:tab/>
      </w:r>
      <w:bookmarkStart w:id="9" w:name="_Toc22094_WPSOffice_Level2Page"/>
      <w:r>
        <w:rPr>
          <w:rFonts w:hint="eastAsia" w:ascii="仿宋" w:hAnsi="仿宋" w:eastAsia="仿宋" w:cs="仿宋"/>
          <w:sz w:val="28"/>
          <w:szCs w:val="28"/>
        </w:rPr>
        <w:t>5</w:t>
      </w:r>
      <w:bookmarkEnd w:id="9"/>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_Toc18801_WPSOffice_Level2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（三）项目分项绩效目标</w:t>
      </w:r>
      <w:r>
        <w:rPr>
          <w:rFonts w:hint="eastAsia" w:ascii="仿宋" w:hAnsi="仿宋" w:eastAsia="仿宋" w:cs="仿宋"/>
          <w:sz w:val="28"/>
          <w:szCs w:val="28"/>
        </w:rPr>
        <w:tab/>
      </w:r>
      <w:bookmarkStart w:id="10" w:name="_Toc18801_WPSOffice_Level2Page"/>
      <w:r>
        <w:rPr>
          <w:rFonts w:hint="eastAsia" w:ascii="仿宋" w:hAnsi="仿宋" w:eastAsia="仿宋" w:cs="仿宋"/>
          <w:sz w:val="28"/>
          <w:szCs w:val="28"/>
        </w:rPr>
        <w:t>5</w:t>
      </w:r>
      <w:bookmarkEnd w:id="10"/>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_Toc14430_WPSOffice_Level1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四、项目基本情况</w:t>
      </w:r>
      <w:r>
        <w:rPr>
          <w:rFonts w:hint="eastAsia" w:ascii="仿宋" w:hAnsi="仿宋" w:eastAsia="仿宋" w:cs="仿宋"/>
          <w:sz w:val="28"/>
          <w:szCs w:val="28"/>
        </w:rPr>
        <w:tab/>
      </w:r>
      <w:bookmarkStart w:id="11" w:name="_Toc14430_WPSOffice_Level1Page"/>
      <w:r>
        <w:rPr>
          <w:rFonts w:hint="eastAsia" w:ascii="仿宋" w:hAnsi="仿宋" w:eastAsia="仿宋" w:cs="仿宋"/>
          <w:sz w:val="28"/>
          <w:szCs w:val="28"/>
        </w:rPr>
        <w:t>5</w:t>
      </w:r>
      <w:bookmarkEnd w:id="11"/>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_Toc4550_WPSOffice_Level2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（一）项目决策情况。</w:t>
      </w:r>
      <w:r>
        <w:rPr>
          <w:rFonts w:hint="eastAsia" w:ascii="仿宋" w:hAnsi="仿宋" w:eastAsia="仿宋" w:cs="仿宋"/>
          <w:sz w:val="28"/>
          <w:szCs w:val="28"/>
        </w:rPr>
        <w:tab/>
      </w:r>
      <w:bookmarkStart w:id="12" w:name="_Toc4550_WPSOffice_Level2Page"/>
      <w:r>
        <w:rPr>
          <w:rFonts w:hint="eastAsia" w:ascii="仿宋" w:hAnsi="仿宋" w:eastAsia="仿宋" w:cs="仿宋"/>
          <w:sz w:val="28"/>
          <w:szCs w:val="28"/>
        </w:rPr>
        <w:t>5</w:t>
      </w:r>
      <w:bookmarkEnd w:id="1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_Toc21876_WPSOffice_Level2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（二）项目过程情况。</w:t>
      </w:r>
      <w:r>
        <w:rPr>
          <w:rFonts w:hint="eastAsia" w:ascii="仿宋" w:hAnsi="仿宋" w:eastAsia="仿宋" w:cs="仿宋"/>
          <w:sz w:val="28"/>
          <w:szCs w:val="28"/>
        </w:rPr>
        <w:tab/>
      </w:r>
      <w:bookmarkStart w:id="13" w:name="_Toc21876_WPSOffice_Level2Page"/>
      <w:r>
        <w:rPr>
          <w:rFonts w:hint="eastAsia" w:ascii="仿宋" w:hAnsi="仿宋" w:eastAsia="仿宋" w:cs="仿宋"/>
          <w:sz w:val="28"/>
          <w:szCs w:val="28"/>
        </w:rPr>
        <w:t>6</w:t>
      </w:r>
      <w:bookmarkEnd w:id="1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_Toc4966_WPSOffice_Level2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（三）项目产出情况。</w:t>
      </w:r>
      <w:r>
        <w:rPr>
          <w:rFonts w:hint="eastAsia" w:ascii="仿宋" w:hAnsi="仿宋" w:eastAsia="仿宋" w:cs="仿宋"/>
          <w:sz w:val="28"/>
          <w:szCs w:val="28"/>
        </w:rPr>
        <w:tab/>
      </w:r>
      <w:bookmarkStart w:id="14" w:name="_Toc4966_WPSOffice_Level2Page"/>
      <w:r>
        <w:rPr>
          <w:rFonts w:hint="eastAsia" w:ascii="仿宋" w:hAnsi="仿宋" w:eastAsia="仿宋" w:cs="仿宋"/>
          <w:sz w:val="28"/>
          <w:szCs w:val="28"/>
        </w:rPr>
        <w:t>6</w:t>
      </w:r>
      <w:bookmarkEnd w:id="1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_Toc5258_WPSOffice_Level2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（四）项目效益情况。</w:t>
      </w:r>
      <w:r>
        <w:rPr>
          <w:rFonts w:hint="eastAsia" w:ascii="仿宋" w:hAnsi="仿宋" w:eastAsia="仿宋" w:cs="仿宋"/>
          <w:sz w:val="28"/>
          <w:szCs w:val="28"/>
        </w:rPr>
        <w:tab/>
      </w:r>
      <w:bookmarkStart w:id="15" w:name="_Toc5258_WPSOffice_Level2Page"/>
      <w:r>
        <w:rPr>
          <w:rFonts w:hint="eastAsia" w:ascii="仿宋" w:hAnsi="仿宋" w:eastAsia="仿宋" w:cs="仿宋"/>
          <w:sz w:val="28"/>
          <w:szCs w:val="28"/>
        </w:rPr>
        <w:t>7</w:t>
      </w:r>
      <w:bookmarkEnd w:id="15"/>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_Toc7777_WPSOffice_Level1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五、绩效评价结果</w:t>
      </w:r>
      <w:r>
        <w:rPr>
          <w:rFonts w:hint="eastAsia" w:ascii="仿宋" w:hAnsi="仿宋" w:eastAsia="仿宋" w:cs="仿宋"/>
          <w:sz w:val="28"/>
          <w:szCs w:val="28"/>
        </w:rPr>
        <w:tab/>
      </w:r>
      <w:bookmarkStart w:id="16" w:name="_Toc7777_WPSOffice_Level1Page"/>
      <w:r>
        <w:rPr>
          <w:rFonts w:hint="eastAsia" w:ascii="仿宋" w:hAnsi="仿宋" w:eastAsia="仿宋" w:cs="仿宋"/>
          <w:sz w:val="28"/>
          <w:szCs w:val="28"/>
        </w:rPr>
        <w:t>7</w:t>
      </w:r>
      <w:bookmarkEnd w:id="1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_Toc24196_WPSOffice_Level1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六、存在的问题及原因分析</w:t>
      </w:r>
      <w:r>
        <w:rPr>
          <w:rFonts w:hint="eastAsia" w:ascii="仿宋" w:hAnsi="仿宋" w:eastAsia="仿宋" w:cs="仿宋"/>
          <w:sz w:val="28"/>
          <w:szCs w:val="28"/>
        </w:rPr>
        <w:tab/>
      </w:r>
      <w:bookmarkStart w:id="17" w:name="_Toc24196_WPSOffice_Level1Page"/>
      <w:r>
        <w:rPr>
          <w:rFonts w:hint="eastAsia" w:ascii="仿宋" w:hAnsi="仿宋" w:eastAsia="仿宋" w:cs="仿宋"/>
          <w:sz w:val="28"/>
          <w:szCs w:val="28"/>
        </w:rPr>
        <w:t>7</w:t>
      </w:r>
      <w:bookmarkEnd w:id="17"/>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_Toc13523_WPSOffice_Level1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七、有关建议</w:t>
      </w:r>
      <w:r>
        <w:rPr>
          <w:rFonts w:hint="eastAsia" w:ascii="仿宋" w:hAnsi="仿宋" w:eastAsia="仿宋" w:cs="仿宋"/>
          <w:sz w:val="28"/>
          <w:szCs w:val="28"/>
        </w:rPr>
        <w:tab/>
      </w:r>
      <w:bookmarkStart w:id="18" w:name="_Toc13523_WPSOffice_Level1Page"/>
      <w:r>
        <w:rPr>
          <w:rFonts w:hint="eastAsia" w:ascii="仿宋" w:hAnsi="仿宋" w:eastAsia="仿宋" w:cs="仿宋"/>
          <w:sz w:val="28"/>
          <w:szCs w:val="28"/>
        </w:rPr>
        <w:t>8</w:t>
      </w:r>
      <w:bookmarkEnd w:id="18"/>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_Toc7856_WPSOffice_Level1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八、其他需要说明的问题</w:t>
      </w:r>
      <w:r>
        <w:rPr>
          <w:rFonts w:hint="eastAsia" w:ascii="仿宋" w:hAnsi="仿宋" w:eastAsia="仿宋" w:cs="仿宋"/>
          <w:sz w:val="28"/>
          <w:szCs w:val="28"/>
        </w:rPr>
        <w:tab/>
      </w:r>
      <w:bookmarkStart w:id="19" w:name="_Toc7856_WPSOffice_Level1Page"/>
      <w:r>
        <w:rPr>
          <w:rFonts w:hint="eastAsia" w:ascii="仿宋" w:hAnsi="仿宋" w:eastAsia="仿宋" w:cs="仿宋"/>
          <w:sz w:val="28"/>
          <w:szCs w:val="28"/>
        </w:rPr>
        <w:t>9</w:t>
      </w:r>
      <w:bookmarkEnd w:id="19"/>
      <w:r>
        <w:rPr>
          <w:rFonts w:hint="eastAsia" w:ascii="仿宋" w:hAnsi="仿宋" w:eastAsia="仿宋" w:cs="仿宋"/>
          <w:sz w:val="28"/>
          <w:szCs w:val="28"/>
        </w:rPr>
        <w:fldChar w:fldCharType="end"/>
      </w:r>
      <w:bookmarkEnd w:id="0"/>
    </w:p>
    <w:p>
      <w:pPr>
        <w:jc w:val="left"/>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numPr>
          <w:ilvl w:val="0"/>
          <w:numId w:val="1"/>
        </w:numPr>
        <w:spacing w:line="600" w:lineRule="exact"/>
        <w:ind w:firstLine="602" w:firstLineChars="200"/>
        <w:rPr>
          <w:rFonts w:hint="eastAsia" w:ascii="仿宋" w:hAnsi="仿宋" w:eastAsia="仿宋" w:cs="仿宋"/>
          <w:b/>
          <w:bCs/>
        </w:rPr>
      </w:pPr>
      <w:bookmarkStart w:id="20" w:name="_Toc30176_WPSOffice_Level1"/>
      <w:r>
        <w:rPr>
          <w:rFonts w:hint="eastAsia" w:ascii="仿宋" w:hAnsi="仿宋" w:eastAsia="仿宋" w:cs="仿宋"/>
          <w:b/>
          <w:bCs/>
        </w:rPr>
        <w:t>部门职责</w:t>
      </w:r>
      <w:bookmarkEnd w:id="20"/>
    </w:p>
    <w:p>
      <w:pPr>
        <w:spacing w:line="600" w:lineRule="exact"/>
        <w:ind w:firstLine="640" w:firstLineChars="200"/>
        <w:rPr>
          <w:rFonts w:hint="eastAsia" w:ascii="仿宋" w:hAnsi="仿宋" w:eastAsia="仿宋" w:cs="仿宋"/>
          <w:b/>
          <w:bCs/>
          <w:lang w:eastAsia="zh-CN"/>
        </w:rPr>
      </w:pPr>
      <w:bookmarkStart w:id="21" w:name="_Toc31309_WPSOffice_Level1"/>
      <w:r>
        <w:rPr>
          <w:rFonts w:hint="eastAsia" w:ascii="仿宋_GB2312" w:eastAsia="仿宋_GB2312"/>
          <w:sz w:val="32"/>
          <w:szCs w:val="32"/>
        </w:rPr>
        <w:t>对涉黑案件实行分组督办制度，对群众关注度高、社会影响恶劣的黑恶势力犯罪案件，依法采取措施</w:t>
      </w:r>
      <w:r>
        <w:rPr>
          <w:rFonts w:hint="eastAsia" w:ascii="仿宋_GB2312" w:eastAsia="仿宋_GB2312"/>
          <w:sz w:val="32"/>
          <w:szCs w:val="32"/>
          <w:lang w:eastAsia="zh-CN"/>
        </w:rPr>
        <w:t>。</w:t>
      </w:r>
    </w:p>
    <w:p>
      <w:pPr>
        <w:numPr>
          <w:ilvl w:val="0"/>
          <w:numId w:val="1"/>
        </w:numPr>
        <w:spacing w:line="600" w:lineRule="exact"/>
        <w:ind w:left="0" w:leftChars="0" w:firstLine="602" w:firstLineChars="200"/>
        <w:rPr>
          <w:rFonts w:hint="eastAsia" w:ascii="仿宋" w:hAnsi="仿宋" w:eastAsia="仿宋" w:cs="仿宋"/>
          <w:b/>
          <w:bCs/>
        </w:rPr>
      </w:pPr>
      <w:r>
        <w:rPr>
          <w:rFonts w:hint="eastAsia" w:ascii="仿宋" w:hAnsi="仿宋" w:eastAsia="仿宋" w:cs="仿宋"/>
          <w:b/>
          <w:bCs/>
        </w:rPr>
        <w:t>绩效评价工作开展情况</w:t>
      </w:r>
      <w:bookmarkEnd w:id="21"/>
    </w:p>
    <w:p>
      <w:pPr>
        <w:spacing w:line="54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扫黑除恶专项斗争工作经费项目</w:t>
      </w:r>
      <w:r>
        <w:rPr>
          <w:rFonts w:hint="eastAsia" w:ascii="仿宋" w:hAnsi="仿宋" w:eastAsia="仿宋" w:cs="仿宋"/>
          <w:sz w:val="32"/>
          <w:szCs w:val="32"/>
          <w:lang w:eastAsia="zh-CN"/>
        </w:rPr>
        <w:t>。</w:t>
      </w:r>
    </w:p>
    <w:p>
      <w:pPr>
        <w:numPr>
          <w:ilvl w:val="0"/>
          <w:numId w:val="2"/>
        </w:numPr>
        <w:spacing w:line="540" w:lineRule="exact"/>
        <w:ind w:left="480" w:leftChars="0" w:firstLine="0" w:firstLineChars="0"/>
        <w:rPr>
          <w:rFonts w:hint="eastAsia" w:ascii="仿宋" w:hAnsi="仿宋" w:eastAsia="仿宋" w:cs="仿宋"/>
          <w:sz w:val="32"/>
          <w:szCs w:val="32"/>
        </w:rPr>
      </w:pPr>
      <w:bookmarkStart w:id="22" w:name="_Toc4762_WPSOffice_Level2"/>
      <w:r>
        <w:rPr>
          <w:rFonts w:hint="eastAsia" w:ascii="仿宋" w:hAnsi="仿宋" w:eastAsia="仿宋" w:cs="仿宋"/>
          <w:sz w:val="32"/>
          <w:szCs w:val="32"/>
        </w:rPr>
        <w:t>绩效评价目的与原则</w:t>
      </w:r>
      <w:bookmarkEnd w:id="22"/>
    </w:p>
    <w:p>
      <w:pPr>
        <w:spacing w:line="540" w:lineRule="exact"/>
        <w:ind w:firstLine="640"/>
        <w:rPr>
          <w:rFonts w:hint="eastAsia" w:ascii="仿宋" w:hAnsi="仿宋" w:eastAsia="仿宋" w:cs="仿宋"/>
          <w:sz w:val="32"/>
          <w:szCs w:val="32"/>
        </w:rPr>
      </w:pPr>
      <w:r>
        <w:rPr>
          <w:rFonts w:hint="eastAsia" w:ascii="仿宋" w:hAnsi="仿宋" w:eastAsia="仿宋" w:cs="仿宋"/>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pPr>
        <w:spacing w:line="540" w:lineRule="exact"/>
        <w:ind w:firstLine="640" w:firstLineChars="200"/>
        <w:rPr>
          <w:rFonts w:hint="eastAsia" w:ascii="仿宋" w:hAnsi="仿宋" w:eastAsia="仿宋" w:cs="仿宋"/>
          <w:sz w:val="32"/>
          <w:szCs w:val="32"/>
        </w:rPr>
      </w:pPr>
      <w:bookmarkStart w:id="23" w:name="_Toc27178_WPSOffice_Level2"/>
      <w:r>
        <w:rPr>
          <w:rFonts w:hint="eastAsia" w:ascii="仿宋" w:hAnsi="仿宋" w:eastAsia="仿宋" w:cs="仿宋"/>
          <w:sz w:val="32"/>
          <w:szCs w:val="32"/>
        </w:rPr>
        <w:t>（二）评价依据</w:t>
      </w:r>
      <w:bookmarkEnd w:id="23"/>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（1）《中华人民共和国预算法》（2014 年修订）；</w:t>
      </w:r>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（2）《中共中央国务院关于全面实施预算绩效管理的意见》（中发〔2018〕34 号）；</w:t>
      </w:r>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（3）《中共河北省委河北省人民政府关于全面实施预算绩效管理的实施意见》（冀发〔2018〕54 号）；</w:t>
      </w:r>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（4）项目相关申报材料、财政部门预算批复、项目基本信息表、项目绩效目标申报表；</w:t>
      </w:r>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（5）项目单位职能职责、年度工作计划、总结，项目实施（建设）方案；</w:t>
      </w:r>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（6）相关预算管理制度、财务管理办法，财务会计资料；</w:t>
      </w:r>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（7）其他项目相关材料。</w:t>
      </w:r>
    </w:p>
    <w:p>
      <w:pPr>
        <w:numPr>
          <w:ilvl w:val="0"/>
          <w:numId w:val="0"/>
        </w:numPr>
        <w:spacing w:line="600" w:lineRule="exact"/>
        <w:ind w:firstLine="300" w:firstLineChars="100"/>
        <w:rPr>
          <w:rFonts w:hint="eastAsia" w:ascii="仿宋" w:hAnsi="仿宋" w:eastAsia="仿宋" w:cs="仿宋"/>
          <w:sz w:val="32"/>
          <w:szCs w:val="32"/>
        </w:rPr>
      </w:pPr>
      <w:bookmarkStart w:id="24" w:name="_Toc3714_WPSOffice_Level2"/>
      <w:r>
        <w:rPr>
          <w:rFonts w:hint="eastAsia" w:ascii="仿宋" w:hAnsi="仿宋" w:eastAsia="仿宋" w:cs="仿宋"/>
        </w:rPr>
        <w:t>（三）评价思路与程序</w:t>
      </w:r>
      <w:bookmarkEnd w:id="24"/>
    </w:p>
    <w:p>
      <w:pPr>
        <w:spacing w:line="540" w:lineRule="exact"/>
        <w:ind w:firstLine="640"/>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w:t>
      </w:r>
      <w:r>
        <w:rPr>
          <w:rFonts w:hint="eastAsia" w:ascii="仿宋" w:hAnsi="仿宋" w:eastAsia="仿宋" w:cs="仿宋"/>
          <w:sz w:val="32"/>
          <w:szCs w:val="32"/>
        </w:rPr>
        <w:t>制定绩效评价工作方案。各绩效评价工作组分项目制定评价工作方案、绩效评价指标和评价标准、设计调查问卷等。</w:t>
      </w:r>
    </w:p>
    <w:p>
      <w:pPr>
        <w:spacing w:line="540" w:lineRule="exact"/>
        <w:ind w:firstLine="640"/>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w:t>
      </w:r>
      <w:r>
        <w:rPr>
          <w:rFonts w:hint="eastAsia" w:ascii="仿宋" w:hAnsi="仿宋" w:eastAsia="仿宋" w:cs="仿宋"/>
          <w:sz w:val="32"/>
          <w:szCs w:val="32"/>
        </w:rPr>
        <w:t>绩效评价具体实施。各绩效评价工作组依据绩效评价工作方案，通过现场勘察、专家评审、问卷调查、人员访谈、评分评级等形式实施绩效评价工作。</w:t>
      </w:r>
    </w:p>
    <w:p>
      <w:pPr>
        <w:spacing w:line="540" w:lineRule="exact"/>
        <w:ind w:firstLine="640"/>
        <w:rPr>
          <w:rFonts w:hint="eastAsia" w:ascii="仿宋" w:hAnsi="仿宋" w:eastAsia="仿宋" w:cs="仿宋"/>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w:t>
      </w:r>
      <w:r>
        <w:rPr>
          <w:rFonts w:hint="eastAsia" w:ascii="仿宋" w:hAnsi="仿宋" w:eastAsia="仿宋" w:cs="仿宋"/>
          <w:sz w:val="32"/>
          <w:szCs w:val="32"/>
        </w:rPr>
        <w:t>撰写绩效报告。各绩效评价工作组根据工作开展情况， 按照《</w:t>
      </w:r>
      <w:r>
        <w:rPr>
          <w:rFonts w:hint="eastAsia" w:ascii="仿宋" w:hAnsi="仿宋" w:eastAsia="仿宋" w:cs="仿宋"/>
          <w:sz w:val="32"/>
          <w:szCs w:val="32"/>
          <w:lang w:eastAsia="zh-CN"/>
        </w:rPr>
        <w:t>重点</w:t>
      </w:r>
      <w:r>
        <w:rPr>
          <w:rFonts w:hint="eastAsia" w:ascii="仿宋" w:hAnsi="仿宋" w:eastAsia="仿宋" w:cs="仿宋"/>
          <w:sz w:val="32"/>
          <w:szCs w:val="32"/>
        </w:rPr>
        <w:t>项目绩效评价报告》的要求分项目撰写绩效评价报告，并形成绩效评价成果文件。</w:t>
      </w:r>
    </w:p>
    <w:p>
      <w:pPr>
        <w:numPr>
          <w:ilvl w:val="0"/>
          <w:numId w:val="0"/>
        </w:numPr>
        <w:spacing w:line="600" w:lineRule="exact"/>
        <w:ind w:firstLine="602" w:firstLineChars="200"/>
        <w:rPr>
          <w:rFonts w:hint="eastAsia" w:ascii="仿宋" w:hAnsi="仿宋" w:eastAsia="仿宋" w:cs="仿宋"/>
          <w:b/>
          <w:bCs/>
        </w:rPr>
      </w:pPr>
      <w:bookmarkStart w:id="25" w:name="_Toc22655_WPSOffice_Level1"/>
      <w:r>
        <w:rPr>
          <w:rFonts w:hint="eastAsia" w:ascii="仿宋" w:hAnsi="仿宋" w:eastAsia="仿宋" w:cs="仿宋"/>
          <w:b/>
          <w:bCs/>
          <w:lang w:eastAsia="zh-CN"/>
        </w:rPr>
        <w:t>三、项目总体情况</w:t>
      </w:r>
      <w:bookmarkEnd w:id="25"/>
    </w:p>
    <w:p>
      <w:pPr>
        <w:spacing w:line="600" w:lineRule="exact"/>
        <w:ind w:firstLine="600" w:firstLineChars="200"/>
        <w:outlineLvl w:val="0"/>
        <w:rPr>
          <w:rFonts w:hint="eastAsia" w:ascii="仿宋" w:hAnsi="仿宋" w:eastAsia="仿宋" w:cs="仿宋"/>
          <w:lang w:eastAsia="zh-CN"/>
        </w:rPr>
      </w:pPr>
      <w:bookmarkStart w:id="26" w:name="_Toc1808_WPSOffice_Level2"/>
      <w:r>
        <w:rPr>
          <w:rFonts w:hint="eastAsia" w:ascii="仿宋" w:hAnsi="仿宋" w:eastAsia="仿宋" w:cs="仿宋"/>
          <w:lang w:eastAsia="zh-CN"/>
        </w:rPr>
        <w:t>（一）立项背景及目的</w:t>
      </w:r>
      <w:bookmarkEnd w:id="26"/>
    </w:p>
    <w:p>
      <w:pPr>
        <w:spacing w:line="600" w:lineRule="exact"/>
        <w:ind w:firstLine="640" w:firstLineChars="200"/>
        <w:rPr>
          <w:rFonts w:hint="eastAsia" w:ascii="仿宋" w:hAnsi="仿宋" w:eastAsia="仿宋" w:cs="仿宋"/>
          <w:lang w:eastAsia="zh-CN"/>
        </w:rPr>
      </w:pPr>
      <w:bookmarkStart w:id="27" w:name="_Toc22094_WPSOffice_Level2"/>
      <w:r>
        <w:rPr>
          <w:rFonts w:hint="eastAsia" w:ascii="仿宋_GB2312" w:eastAsia="仿宋_GB2312"/>
          <w:sz w:val="32"/>
          <w:szCs w:val="32"/>
        </w:rPr>
        <w:t>用于县扫黑办宣传及办公经费。对涉黑案件实行分组督办制度，对群众关注度高、社会影响恶劣的黑恶势力犯罪案件，依法采取措施</w:t>
      </w:r>
      <w:r>
        <w:rPr>
          <w:rFonts w:hint="eastAsia" w:ascii="仿宋_GB2312" w:eastAsia="仿宋_GB2312"/>
          <w:sz w:val="32"/>
          <w:szCs w:val="32"/>
          <w:lang w:eastAsia="zh-CN"/>
        </w:rPr>
        <w:t>。</w:t>
      </w:r>
    </w:p>
    <w:p>
      <w:pPr>
        <w:numPr>
          <w:ilvl w:val="0"/>
          <w:numId w:val="3"/>
        </w:numPr>
        <w:spacing w:line="600" w:lineRule="exact"/>
        <w:ind w:firstLine="600" w:firstLineChars="200"/>
        <w:outlineLvl w:val="0"/>
        <w:rPr>
          <w:rFonts w:hint="eastAsia" w:ascii="仿宋" w:hAnsi="仿宋" w:eastAsia="仿宋" w:cs="仿宋"/>
          <w:lang w:eastAsia="zh-CN"/>
        </w:rPr>
      </w:pPr>
      <w:r>
        <w:rPr>
          <w:rFonts w:hint="eastAsia" w:ascii="仿宋" w:hAnsi="仿宋" w:eastAsia="仿宋" w:cs="仿宋"/>
          <w:lang w:eastAsia="zh-CN"/>
        </w:rPr>
        <w:t>项目总体绩效目标</w:t>
      </w:r>
      <w:bookmarkEnd w:id="27"/>
    </w:p>
    <w:p>
      <w:pPr>
        <w:spacing w:line="600" w:lineRule="exact"/>
        <w:ind w:firstLine="640" w:firstLineChars="200"/>
        <w:rPr>
          <w:rFonts w:hint="eastAsia" w:ascii="仿宋" w:hAnsi="仿宋" w:eastAsia="仿宋" w:cs="仿宋"/>
          <w:lang w:eastAsia="zh-CN"/>
        </w:rPr>
      </w:pPr>
      <w:r>
        <w:rPr>
          <w:rFonts w:hint="eastAsia" w:ascii="仿宋_GB2312" w:eastAsia="仿宋_GB2312"/>
          <w:sz w:val="32"/>
          <w:szCs w:val="32"/>
          <w:lang w:val="en-US" w:eastAsia="zh-CN"/>
        </w:rPr>
        <w:t>黑恶势力违法犯罪特别是农村涉黑涉恶问题得到根本遏制，涉黑涉恶治安乱点得到全面整治</w:t>
      </w:r>
      <w:r>
        <w:rPr>
          <w:rFonts w:hint="eastAsia" w:ascii="仿宋_GB2312"/>
          <w:sz w:val="32"/>
          <w:szCs w:val="32"/>
          <w:lang w:val="en-US" w:eastAsia="zh-CN"/>
        </w:rPr>
        <w:t>。</w:t>
      </w:r>
    </w:p>
    <w:p>
      <w:pPr>
        <w:spacing w:line="600" w:lineRule="exact"/>
        <w:ind w:firstLine="600" w:firstLineChars="200"/>
        <w:outlineLvl w:val="0"/>
        <w:rPr>
          <w:rFonts w:hint="eastAsia" w:ascii="仿宋" w:hAnsi="仿宋" w:eastAsia="仿宋" w:cs="仿宋"/>
          <w:lang w:eastAsia="zh-CN"/>
        </w:rPr>
      </w:pPr>
      <w:bookmarkStart w:id="28" w:name="_Toc18801_WPSOffice_Level2"/>
      <w:r>
        <w:rPr>
          <w:rFonts w:hint="eastAsia" w:ascii="仿宋" w:hAnsi="仿宋" w:eastAsia="仿宋" w:cs="仿宋"/>
          <w:lang w:eastAsia="zh-CN"/>
        </w:rPr>
        <w:t>（三）项目分项绩效目标</w:t>
      </w:r>
      <w:bookmarkEnd w:id="28"/>
    </w:p>
    <w:p>
      <w:pPr>
        <w:spacing w:line="600" w:lineRule="exact"/>
        <w:ind w:firstLine="640" w:firstLineChars="200"/>
        <w:rPr>
          <w:rFonts w:hint="eastAsia" w:ascii="仿宋_GB2312" w:eastAsia="仿宋_GB2312"/>
          <w:sz w:val="32"/>
          <w:szCs w:val="32"/>
          <w:lang w:val="en-US" w:eastAsia="zh-CN"/>
        </w:rPr>
      </w:pPr>
      <w:bookmarkStart w:id="29" w:name="_Toc14430_WPSOffice_Level1"/>
      <w:r>
        <w:rPr>
          <w:rFonts w:hint="eastAsia" w:ascii="仿宋_GB2312" w:eastAsia="仿宋_GB2312"/>
          <w:sz w:val="32"/>
          <w:szCs w:val="32"/>
          <w:lang w:val="en-US" w:eastAsia="zh-CN"/>
        </w:rPr>
        <w:t>重点行业、重点领域管理得到明显加强，人民群众安全感、满意度明显提升。</w:t>
      </w:r>
    </w:p>
    <w:p>
      <w:pPr>
        <w:numPr>
          <w:ilvl w:val="0"/>
          <w:numId w:val="0"/>
        </w:numPr>
        <w:spacing w:line="600" w:lineRule="exact"/>
        <w:ind w:leftChars="200"/>
        <w:rPr>
          <w:rFonts w:hint="eastAsia" w:ascii="仿宋" w:hAnsi="仿宋" w:eastAsia="仿宋" w:cs="仿宋"/>
          <w:lang w:eastAsia="zh-CN"/>
        </w:rPr>
      </w:pPr>
      <w:r>
        <w:rPr>
          <w:rFonts w:hint="eastAsia" w:ascii="仿宋" w:hAnsi="仿宋" w:eastAsia="仿宋" w:cs="仿宋"/>
          <w:lang w:eastAsia="zh-CN"/>
        </w:rPr>
        <w:t>四、项目基本情况</w:t>
      </w:r>
      <w:bookmarkEnd w:id="29"/>
    </w:p>
    <w:p>
      <w:pPr>
        <w:spacing w:line="600" w:lineRule="exact"/>
        <w:ind w:firstLine="600" w:firstLineChars="200"/>
        <w:outlineLvl w:val="0"/>
        <w:rPr>
          <w:rFonts w:hint="eastAsia" w:ascii="仿宋" w:hAnsi="仿宋" w:eastAsia="仿宋" w:cs="仿宋"/>
          <w:highlight w:val="yellow"/>
          <w:lang w:eastAsia="zh-CN"/>
        </w:rPr>
      </w:pPr>
      <w:bookmarkStart w:id="30" w:name="_Toc4550_WPSOffice_Level2"/>
      <w:r>
        <w:rPr>
          <w:rFonts w:hint="eastAsia" w:ascii="仿宋" w:hAnsi="仿宋" w:eastAsia="仿宋" w:cs="仿宋"/>
        </w:rPr>
        <w:t>（一）项目决策情况。</w:t>
      </w:r>
      <w:bookmarkEnd w:id="30"/>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项目决策整体得</w:t>
      </w:r>
      <w:r>
        <w:rPr>
          <w:rFonts w:hint="eastAsia" w:ascii="仿宋" w:hAnsi="仿宋" w:eastAsia="仿宋" w:cs="仿宋"/>
          <w:sz w:val="32"/>
          <w:szCs w:val="32"/>
          <w:lang w:val="en-US" w:eastAsia="zh-CN"/>
        </w:rPr>
        <w:t>29</w:t>
      </w:r>
      <w:r>
        <w:rPr>
          <w:rFonts w:hint="eastAsia" w:ascii="仿宋" w:hAnsi="仿宋" w:eastAsia="仿宋" w:cs="仿宋"/>
          <w:sz w:val="32"/>
          <w:szCs w:val="32"/>
        </w:rPr>
        <w:t>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其中项目立项单位得</w:t>
      </w:r>
      <w:r>
        <w:rPr>
          <w:rFonts w:hint="eastAsia" w:ascii="仿宋" w:hAnsi="仿宋" w:eastAsia="仿宋" w:cs="仿宋"/>
          <w:sz w:val="32"/>
          <w:szCs w:val="32"/>
          <w:lang w:val="en-US" w:eastAsia="zh-CN"/>
        </w:rPr>
        <w:t>10</w:t>
      </w:r>
      <w:r>
        <w:rPr>
          <w:rFonts w:hint="eastAsia" w:ascii="仿宋" w:hAnsi="仿宋" w:eastAsia="仿宋" w:cs="仿宋"/>
          <w:sz w:val="32"/>
          <w:szCs w:val="32"/>
        </w:rPr>
        <w:t>分。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绩效目标单位得</w:t>
      </w:r>
      <w:r>
        <w:rPr>
          <w:rFonts w:hint="eastAsia" w:ascii="仿宋" w:hAnsi="仿宋" w:eastAsia="仿宋" w:cs="仿宋"/>
          <w:sz w:val="32"/>
          <w:szCs w:val="32"/>
          <w:lang w:val="en-US" w:eastAsia="zh-CN"/>
        </w:rPr>
        <w:t>10</w:t>
      </w:r>
      <w:r>
        <w:rPr>
          <w:rFonts w:hint="eastAsia" w:ascii="仿宋" w:hAnsi="仿宋" w:eastAsia="仿宋" w:cs="仿宋"/>
          <w:sz w:val="32"/>
          <w:szCs w:val="32"/>
        </w:rPr>
        <w:t>分。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line="540" w:lineRule="exact"/>
        <w:rPr>
          <w:rFonts w:hint="eastAsia" w:ascii="仿宋" w:hAnsi="仿宋" w:eastAsia="仿宋" w:cs="仿宋"/>
          <w:color w:val="000000"/>
          <w:kern w:val="0"/>
          <w:sz w:val="32"/>
          <w:szCs w:val="32"/>
        </w:rPr>
      </w:pPr>
      <w:r>
        <w:rPr>
          <w:rFonts w:hint="eastAsia" w:ascii="仿宋" w:hAnsi="仿宋" w:eastAsia="仿宋" w:cs="仿宋"/>
          <w:sz w:val="32"/>
          <w:szCs w:val="32"/>
        </w:rPr>
        <w:t xml:space="preserve">    资金投入单位得</w:t>
      </w:r>
      <w:r>
        <w:rPr>
          <w:rFonts w:hint="eastAsia" w:ascii="仿宋" w:hAnsi="仿宋" w:eastAsia="仿宋" w:cs="仿宋"/>
          <w:sz w:val="32"/>
          <w:szCs w:val="32"/>
          <w:lang w:val="en-US" w:eastAsia="zh-CN"/>
        </w:rPr>
        <w:t>9</w:t>
      </w:r>
      <w:r>
        <w:rPr>
          <w:rFonts w:hint="eastAsia" w:ascii="仿宋" w:hAnsi="仿宋" w:eastAsia="仿宋" w:cs="仿宋"/>
          <w:sz w:val="32"/>
          <w:szCs w:val="32"/>
        </w:rPr>
        <w:t>分。预算编制经过科学论证；预算内容与项目内容匹配；</w:t>
      </w:r>
      <w:r>
        <w:rPr>
          <w:rFonts w:hint="eastAsia" w:ascii="仿宋" w:hAnsi="仿宋" w:eastAsia="仿宋" w:cs="仿宋"/>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pPr>
        <w:spacing w:line="540" w:lineRule="exact"/>
        <w:ind w:firstLine="600" w:firstLineChars="200"/>
        <w:outlineLvl w:val="0"/>
        <w:rPr>
          <w:rFonts w:hint="eastAsia" w:ascii="仿宋" w:hAnsi="仿宋" w:eastAsia="仿宋" w:cs="仿宋"/>
          <w:lang w:eastAsia="zh-CN"/>
        </w:rPr>
      </w:pPr>
      <w:bookmarkStart w:id="31" w:name="_Toc21876_WPSOffice_Level2"/>
      <w:r>
        <w:rPr>
          <w:rFonts w:hint="eastAsia" w:ascii="仿宋" w:hAnsi="仿宋" w:eastAsia="仿宋" w:cs="仿宋"/>
        </w:rPr>
        <w:t>（二）项目过程情况。</w:t>
      </w:r>
      <w:bookmarkEnd w:id="31"/>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项目过程整体得</w:t>
      </w:r>
      <w:r>
        <w:rPr>
          <w:rFonts w:hint="eastAsia" w:ascii="仿宋" w:hAnsi="仿宋" w:eastAsia="仿宋" w:cs="仿宋"/>
          <w:sz w:val="32"/>
          <w:szCs w:val="32"/>
          <w:lang w:val="en-US" w:eastAsia="zh-CN"/>
        </w:rPr>
        <w:t>20</w:t>
      </w:r>
      <w:r>
        <w:rPr>
          <w:rFonts w:hint="eastAsia" w:ascii="仿宋" w:hAnsi="仿宋" w:eastAsia="仿宋" w:cs="仿宋"/>
          <w:sz w:val="32"/>
          <w:szCs w:val="32"/>
        </w:rPr>
        <w:t>分 。</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其中：资金管理单位得</w:t>
      </w:r>
      <w:r>
        <w:rPr>
          <w:rFonts w:hint="eastAsia" w:ascii="仿宋" w:hAnsi="仿宋" w:eastAsia="仿宋" w:cs="仿宋"/>
          <w:sz w:val="32"/>
          <w:szCs w:val="32"/>
          <w:lang w:val="en-US" w:eastAsia="zh-CN"/>
        </w:rPr>
        <w:t>10</w:t>
      </w:r>
      <w:r>
        <w:rPr>
          <w:rFonts w:hint="eastAsia" w:ascii="仿宋" w:hAnsi="仿宋" w:eastAsia="仿宋" w:cs="仿宋"/>
          <w:sz w:val="32"/>
          <w:szCs w:val="32"/>
        </w:rPr>
        <w:t>分。实际到位资金与预算资金的比率，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组织实施单位得</w:t>
      </w:r>
      <w:r>
        <w:rPr>
          <w:rFonts w:hint="eastAsia" w:ascii="仿宋" w:hAnsi="仿宋" w:eastAsia="仿宋" w:cs="仿宋"/>
          <w:sz w:val="32"/>
          <w:szCs w:val="32"/>
          <w:lang w:val="en-US" w:eastAsia="zh-CN"/>
        </w:rPr>
        <w:t>10</w:t>
      </w:r>
      <w:r>
        <w:rPr>
          <w:rFonts w:hint="eastAsia" w:ascii="仿宋" w:hAnsi="仿宋" w:eastAsia="仿宋" w:cs="仿宋"/>
          <w:sz w:val="32"/>
          <w:szCs w:val="32"/>
        </w:rPr>
        <w:t>分。已制定或具有相应的财务和业务管理制度；财务和业务管理制度是否合法、合规、完整。遵守相关法律法规和相关管理规定；项目调整及支出调整手续是否完备；项目合同书、验收报告、技术鉴定等资料齐全并及时归档；项目实施的人员条件、场地设备、信息支撑等落实到位。</w:t>
      </w:r>
    </w:p>
    <w:p>
      <w:pPr>
        <w:spacing w:line="540" w:lineRule="exact"/>
        <w:ind w:firstLine="600" w:firstLineChars="200"/>
        <w:outlineLvl w:val="0"/>
        <w:rPr>
          <w:rFonts w:hint="eastAsia" w:ascii="仿宋" w:hAnsi="仿宋" w:eastAsia="仿宋" w:cs="仿宋"/>
          <w:lang w:eastAsia="zh-CN"/>
        </w:rPr>
      </w:pPr>
      <w:bookmarkStart w:id="32" w:name="_Toc4966_WPSOffice_Level2"/>
      <w:r>
        <w:rPr>
          <w:rFonts w:hint="eastAsia" w:ascii="仿宋" w:hAnsi="仿宋" w:eastAsia="仿宋" w:cs="仿宋"/>
        </w:rPr>
        <w:t>（三）项目产出情况。</w:t>
      </w:r>
      <w:bookmarkEnd w:id="32"/>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项目产出整体得</w:t>
      </w:r>
      <w:r>
        <w:rPr>
          <w:rFonts w:hint="eastAsia" w:ascii="仿宋" w:hAnsi="仿宋" w:eastAsia="仿宋" w:cs="仿宋"/>
          <w:sz w:val="32"/>
          <w:szCs w:val="32"/>
          <w:lang w:val="en-US" w:eastAsia="zh-CN"/>
        </w:rPr>
        <w:t>36</w:t>
      </w:r>
      <w:r>
        <w:rPr>
          <w:rFonts w:hint="eastAsia" w:ascii="仿宋" w:hAnsi="仿宋" w:eastAsia="仿宋" w:cs="仿宋"/>
          <w:sz w:val="32"/>
          <w:szCs w:val="32"/>
        </w:rPr>
        <w:t>分 。</w:t>
      </w:r>
    </w:p>
    <w:p>
      <w:pPr>
        <w:spacing w:line="540" w:lineRule="exact"/>
        <w:ind w:firstLine="640" w:firstLineChars="200"/>
        <w:outlineLvl w:val="0"/>
        <w:rPr>
          <w:rFonts w:hint="default" w:ascii="仿宋" w:hAnsi="仿宋" w:eastAsia="仿宋" w:cs="仿宋"/>
          <w:sz w:val="32"/>
          <w:szCs w:val="32"/>
          <w:lang w:val="en-US" w:eastAsia="zh-CN"/>
        </w:rPr>
      </w:pPr>
      <w:r>
        <w:rPr>
          <w:rFonts w:hint="eastAsia" w:ascii="仿宋" w:hAnsi="仿宋" w:eastAsia="仿宋" w:cs="仿宋"/>
          <w:sz w:val="32"/>
          <w:szCs w:val="32"/>
        </w:rPr>
        <w:t>其中：产出数量</w:t>
      </w:r>
      <w:r>
        <w:rPr>
          <w:rFonts w:hint="eastAsia" w:ascii="仿宋" w:hAnsi="仿宋" w:eastAsia="仿宋" w:cs="仿宋"/>
          <w:sz w:val="32"/>
          <w:szCs w:val="32"/>
          <w:lang w:val="en-US" w:eastAsia="zh-CN"/>
        </w:rPr>
        <w:t>9</w:t>
      </w:r>
      <w:r>
        <w:rPr>
          <w:rFonts w:hint="eastAsia" w:ascii="仿宋" w:hAnsi="仿宋" w:eastAsia="仿宋" w:cs="仿宋"/>
          <w:sz w:val="32"/>
          <w:szCs w:val="32"/>
        </w:rPr>
        <w:t>分。项目实施的实际产出数与计划产出数的比率相符。产出质量</w:t>
      </w:r>
      <w:r>
        <w:rPr>
          <w:rFonts w:hint="eastAsia" w:ascii="仿宋" w:hAnsi="仿宋" w:eastAsia="仿宋" w:cs="仿宋"/>
          <w:sz w:val="32"/>
          <w:szCs w:val="32"/>
          <w:lang w:val="en-US" w:eastAsia="zh-CN"/>
        </w:rPr>
        <w:t>9</w:t>
      </w:r>
      <w:r>
        <w:rPr>
          <w:rFonts w:hint="eastAsia" w:ascii="仿宋" w:hAnsi="仿宋" w:eastAsia="仿宋" w:cs="仿宋"/>
          <w:sz w:val="32"/>
          <w:szCs w:val="32"/>
        </w:rPr>
        <w:t>分。质量达标产出数一定时期（本年度或项目期）内实际达到既定质量标准的产品或服务数量。产出时效</w:t>
      </w:r>
      <w:r>
        <w:rPr>
          <w:rFonts w:hint="eastAsia" w:ascii="仿宋" w:hAnsi="仿宋" w:eastAsia="仿宋" w:cs="仿宋"/>
          <w:sz w:val="32"/>
          <w:szCs w:val="32"/>
          <w:lang w:val="en-US" w:eastAsia="zh-CN"/>
        </w:rPr>
        <w:t>9</w:t>
      </w:r>
      <w:r>
        <w:rPr>
          <w:rFonts w:hint="eastAsia" w:ascii="仿宋" w:hAnsi="仿宋" w:eastAsia="仿宋" w:cs="仿宋"/>
          <w:sz w:val="32"/>
          <w:szCs w:val="32"/>
        </w:rPr>
        <w:t>分。实际完成时间、计划完成时间反映和考核项目产出时效目标的实现程度。</w:t>
      </w:r>
      <w:r>
        <w:rPr>
          <w:rFonts w:hint="eastAsia" w:ascii="仿宋" w:hAnsi="仿宋" w:eastAsia="仿宋" w:cs="仿宋"/>
          <w:sz w:val="32"/>
          <w:szCs w:val="32"/>
          <w:lang w:eastAsia="zh-CN"/>
        </w:rPr>
        <w:t>产出成本</w:t>
      </w:r>
      <w:r>
        <w:rPr>
          <w:rFonts w:hint="eastAsia" w:ascii="仿宋" w:hAnsi="仿宋" w:eastAsia="仿宋" w:cs="仿宋"/>
          <w:sz w:val="32"/>
          <w:szCs w:val="32"/>
          <w:lang w:val="en-US" w:eastAsia="zh-CN"/>
        </w:rPr>
        <w:t>9分。</w:t>
      </w:r>
    </w:p>
    <w:p>
      <w:pPr>
        <w:spacing w:line="540" w:lineRule="exact"/>
        <w:ind w:firstLine="600" w:firstLineChars="200"/>
        <w:outlineLvl w:val="0"/>
        <w:rPr>
          <w:rFonts w:hint="eastAsia" w:ascii="仿宋" w:hAnsi="仿宋" w:eastAsia="仿宋" w:cs="仿宋"/>
        </w:rPr>
      </w:pPr>
      <w:bookmarkStart w:id="33" w:name="_Toc5258_WPSOffice_Level2"/>
      <w:r>
        <w:rPr>
          <w:rFonts w:hint="eastAsia" w:ascii="仿宋" w:hAnsi="仿宋" w:eastAsia="仿宋" w:cs="仿宋"/>
        </w:rPr>
        <w:t>（四）项目效益情况。</w:t>
      </w:r>
      <w:bookmarkEnd w:id="33"/>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项目效益整体得</w:t>
      </w:r>
      <w:r>
        <w:rPr>
          <w:rFonts w:hint="eastAsia" w:ascii="仿宋" w:hAnsi="仿宋" w:eastAsia="仿宋" w:cs="仿宋"/>
          <w:sz w:val="32"/>
          <w:szCs w:val="32"/>
          <w:lang w:val="en-US" w:eastAsia="zh-CN"/>
        </w:rPr>
        <w:t>8</w:t>
      </w:r>
      <w:r>
        <w:rPr>
          <w:rFonts w:hint="eastAsia" w:ascii="仿宋" w:hAnsi="仿宋" w:eastAsia="仿宋" w:cs="仿宋"/>
          <w:sz w:val="32"/>
          <w:szCs w:val="32"/>
          <w:lang w:eastAsia="zh-CN"/>
        </w:rPr>
        <w:t>分</w:t>
      </w:r>
      <w:r>
        <w:rPr>
          <w:rFonts w:hint="eastAsia" w:ascii="仿宋" w:hAnsi="仿宋" w:eastAsia="仿宋" w:cs="仿宋"/>
          <w:sz w:val="32"/>
          <w:szCs w:val="32"/>
        </w:rPr>
        <w:t>。</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其中：项目效益</w:t>
      </w:r>
      <w:r>
        <w:rPr>
          <w:rFonts w:hint="eastAsia" w:ascii="仿宋" w:hAnsi="仿宋" w:eastAsia="仿宋" w:cs="仿宋"/>
          <w:sz w:val="32"/>
          <w:szCs w:val="32"/>
          <w:lang w:val="en-US" w:eastAsia="zh-CN"/>
        </w:rPr>
        <w:t>8</w:t>
      </w:r>
      <w:r>
        <w:rPr>
          <w:rFonts w:hint="eastAsia" w:ascii="仿宋" w:hAnsi="仿宋" w:eastAsia="仿宋" w:cs="仿宋"/>
          <w:sz w:val="32"/>
          <w:szCs w:val="32"/>
        </w:rPr>
        <w:t>分。项目实施所产生的社会效益、经济效益、生态效益、可持续影响等。项目实际情况有选择地设置和细化。社会公众或服务对象对项目实施效果的满意。</w:t>
      </w:r>
    </w:p>
    <w:p>
      <w:pPr>
        <w:spacing w:line="540" w:lineRule="exact"/>
        <w:ind w:firstLine="602" w:firstLineChars="200"/>
        <w:rPr>
          <w:rFonts w:hint="eastAsia" w:ascii="仿宋" w:hAnsi="仿宋" w:eastAsia="仿宋" w:cs="仿宋"/>
          <w:b/>
          <w:bCs/>
        </w:rPr>
      </w:pPr>
      <w:bookmarkStart w:id="34" w:name="_Toc7777_WPSOffice_Level1"/>
      <w:r>
        <w:rPr>
          <w:rFonts w:hint="eastAsia" w:ascii="仿宋" w:hAnsi="仿宋" w:eastAsia="仿宋" w:cs="仿宋"/>
          <w:b/>
          <w:bCs/>
          <w:lang w:eastAsia="zh-CN"/>
        </w:rPr>
        <w:t>五</w:t>
      </w:r>
      <w:r>
        <w:rPr>
          <w:rFonts w:hint="eastAsia" w:ascii="仿宋" w:hAnsi="仿宋" w:eastAsia="仿宋" w:cs="仿宋"/>
          <w:b/>
          <w:bCs/>
        </w:rPr>
        <w:t>、绩效评价结果</w:t>
      </w:r>
      <w:bookmarkEnd w:id="34"/>
    </w:p>
    <w:p>
      <w:pPr>
        <w:spacing w:line="540" w:lineRule="exact"/>
        <w:ind w:firstLine="640" w:firstLineChars="200"/>
        <w:outlineLvl w:val="0"/>
        <w:rPr>
          <w:rFonts w:hint="eastAsia" w:ascii="仿宋" w:hAnsi="仿宋" w:eastAsia="仿宋" w:cs="仿宋"/>
          <w:lang w:eastAsia="zh-CN"/>
        </w:rPr>
      </w:pPr>
      <w:r>
        <w:rPr>
          <w:rFonts w:hint="eastAsia" w:ascii="仿宋" w:hAnsi="仿宋" w:eastAsia="仿宋" w:cs="仿宋"/>
          <w:sz w:val="32"/>
          <w:szCs w:val="32"/>
        </w:rPr>
        <w:t>我单位经过认真的绩效评价，实行评分制，评价结果为</w:t>
      </w:r>
      <w:r>
        <w:rPr>
          <w:rFonts w:hint="eastAsia" w:ascii="仿宋" w:hAnsi="仿宋" w:eastAsia="仿宋" w:cs="仿宋"/>
          <w:sz w:val="32"/>
          <w:szCs w:val="32"/>
          <w:lang w:val="en-US" w:eastAsia="zh-CN"/>
        </w:rPr>
        <w:t>93</w:t>
      </w:r>
      <w:r>
        <w:rPr>
          <w:rFonts w:hint="eastAsia" w:ascii="仿宋" w:hAnsi="仿宋" w:eastAsia="仿宋" w:cs="仿宋"/>
          <w:sz w:val="32"/>
          <w:szCs w:val="32"/>
        </w:rPr>
        <w:t>分。优秀（≥90分）。</w:t>
      </w:r>
    </w:p>
    <w:p>
      <w:pPr>
        <w:spacing w:line="540" w:lineRule="exact"/>
        <w:ind w:firstLine="602" w:firstLineChars="200"/>
        <w:rPr>
          <w:rFonts w:hint="eastAsia" w:ascii="仿宋" w:hAnsi="仿宋" w:eastAsia="仿宋" w:cs="仿宋"/>
          <w:b/>
          <w:bCs/>
        </w:rPr>
      </w:pPr>
      <w:bookmarkStart w:id="35" w:name="_Toc24196_WPSOffice_Level1"/>
      <w:r>
        <w:rPr>
          <w:rFonts w:hint="eastAsia" w:ascii="仿宋" w:hAnsi="仿宋" w:eastAsia="仿宋" w:cs="仿宋"/>
          <w:b/>
          <w:bCs/>
          <w:lang w:eastAsia="zh-CN"/>
        </w:rPr>
        <w:t>六</w:t>
      </w:r>
      <w:r>
        <w:rPr>
          <w:rFonts w:hint="eastAsia" w:ascii="仿宋" w:hAnsi="仿宋" w:eastAsia="仿宋" w:cs="仿宋"/>
          <w:b/>
          <w:bCs/>
        </w:rPr>
        <w:t>、存在的问题及原因分析</w:t>
      </w:r>
      <w:bookmarkEnd w:id="35"/>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绩效重点评价决策项目过程中，立项程序规范性，事前对经过必要的可行性研究、专家论证、风险评估、绩效评估、集体决策中可行性研究、专家论证采取的方式简单，思路单一。近期暂无立项项目，关注度不够。</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在项目产出过程中，产出质量项目实际完成时间与计划完成时间的有差距，质量达标产出数较低，应按照项目实施单位设立绩效目标时依据计划标准、行业标准、历史标准或其他标准。</w:t>
      </w:r>
    </w:p>
    <w:p>
      <w:pPr>
        <w:spacing w:line="600" w:lineRule="exact"/>
        <w:ind w:firstLine="602" w:firstLineChars="200"/>
        <w:rPr>
          <w:rFonts w:hint="eastAsia" w:ascii="仿宋" w:hAnsi="仿宋" w:eastAsia="仿宋" w:cs="仿宋"/>
          <w:b/>
          <w:bCs/>
        </w:rPr>
      </w:pPr>
      <w:bookmarkStart w:id="36" w:name="_Toc13523_WPSOffice_Level1"/>
      <w:r>
        <w:rPr>
          <w:rFonts w:hint="eastAsia" w:ascii="仿宋" w:hAnsi="仿宋" w:eastAsia="仿宋" w:cs="仿宋"/>
          <w:b/>
          <w:bCs/>
          <w:lang w:eastAsia="zh-CN"/>
        </w:rPr>
        <w:t>七</w:t>
      </w:r>
      <w:r>
        <w:rPr>
          <w:rFonts w:hint="eastAsia" w:ascii="仿宋" w:hAnsi="仿宋" w:eastAsia="仿宋" w:cs="仿宋"/>
          <w:b/>
          <w:bCs/>
        </w:rPr>
        <w:t>、有关建议</w:t>
      </w:r>
      <w:bookmarkEnd w:id="36"/>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2.预算申报要做到细化、量化，根据项目实施的具体工 作量，通过科学合理的测算人、财、物的消耗，确保申报预 算的科学性、准确性，同时预算申报要与项目绩效目标进行结合，确保预算与产出目标匹配一致，最终保障项目的实施按计划执行，并能最终进行量化考核。</w:t>
      </w:r>
    </w:p>
    <w:p>
      <w:pPr>
        <w:numPr>
          <w:ilvl w:val="0"/>
          <w:numId w:val="4"/>
        </w:numPr>
        <w:spacing w:line="600" w:lineRule="exact"/>
        <w:ind w:firstLine="602" w:firstLineChars="200"/>
        <w:rPr>
          <w:rFonts w:hint="eastAsia" w:ascii="仿宋" w:hAnsi="仿宋" w:eastAsia="仿宋" w:cs="仿宋"/>
          <w:sz w:val="32"/>
          <w:szCs w:val="32"/>
          <w:lang w:eastAsia="zh-CN"/>
        </w:rPr>
      </w:pPr>
      <w:bookmarkStart w:id="37" w:name="_Toc7856_WPSOffice_Level1"/>
      <w:r>
        <w:rPr>
          <w:rFonts w:hint="eastAsia" w:ascii="仿宋" w:hAnsi="仿宋" w:eastAsia="仿宋" w:cs="仿宋"/>
          <w:b/>
          <w:bCs/>
        </w:rPr>
        <w:t>其他需要说明的问题</w:t>
      </w:r>
      <w:bookmarkEnd w:id="37"/>
    </w:p>
    <w:sectPr>
      <w:footerReference r:id="rId3" w:type="default"/>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FF4000"/>
    <w:multiLevelType w:val="singleLevel"/>
    <w:tmpl w:val="F2FF4000"/>
    <w:lvl w:ilvl="0" w:tentative="0">
      <w:start w:val="1"/>
      <w:numFmt w:val="chineseCounting"/>
      <w:suff w:val="nothing"/>
      <w:lvlText w:val="（%1）"/>
      <w:lvlJc w:val="left"/>
      <w:pPr>
        <w:ind w:left="480" w:leftChars="0" w:firstLine="0" w:firstLineChars="0"/>
      </w:pPr>
      <w:rPr>
        <w:rFonts w:hint="eastAsia"/>
      </w:rPr>
    </w:lvl>
  </w:abstractNum>
  <w:abstractNum w:abstractNumId="1">
    <w:nsid w:val="0A327E4F"/>
    <w:multiLevelType w:val="singleLevel"/>
    <w:tmpl w:val="0A327E4F"/>
    <w:lvl w:ilvl="0" w:tentative="0">
      <w:start w:val="1"/>
      <w:numFmt w:val="chineseCounting"/>
      <w:suff w:val="nothing"/>
      <w:lvlText w:val="%1、"/>
      <w:lvlJc w:val="left"/>
      <w:rPr>
        <w:rFonts w:hint="eastAsia"/>
      </w:rPr>
    </w:lvl>
  </w:abstractNum>
  <w:abstractNum w:abstractNumId="2">
    <w:nsid w:val="51982DE8"/>
    <w:multiLevelType w:val="singleLevel"/>
    <w:tmpl w:val="51982DE8"/>
    <w:lvl w:ilvl="0" w:tentative="0">
      <w:start w:val="8"/>
      <w:numFmt w:val="chineseCounting"/>
      <w:suff w:val="nothing"/>
      <w:lvlText w:val="%1、"/>
      <w:lvlJc w:val="left"/>
      <w:rPr>
        <w:rFonts w:hint="eastAsia"/>
      </w:rPr>
    </w:lvl>
  </w:abstractNum>
  <w:abstractNum w:abstractNumId="3">
    <w:nsid w:val="65F42854"/>
    <w:multiLevelType w:val="singleLevel"/>
    <w:tmpl w:val="65F42854"/>
    <w:lvl w:ilvl="0" w:tentative="0">
      <w:start w:val="2"/>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0F312F"/>
    <w:rsid w:val="00010511"/>
    <w:rsid w:val="000D7DED"/>
    <w:rsid w:val="000F312F"/>
    <w:rsid w:val="00112DDA"/>
    <w:rsid w:val="00161653"/>
    <w:rsid w:val="001C0268"/>
    <w:rsid w:val="002A65A3"/>
    <w:rsid w:val="0042483D"/>
    <w:rsid w:val="00463414"/>
    <w:rsid w:val="00523D41"/>
    <w:rsid w:val="005A16AA"/>
    <w:rsid w:val="005A7D2A"/>
    <w:rsid w:val="005E3978"/>
    <w:rsid w:val="006363B2"/>
    <w:rsid w:val="00653D98"/>
    <w:rsid w:val="00694771"/>
    <w:rsid w:val="006C17B1"/>
    <w:rsid w:val="00872C13"/>
    <w:rsid w:val="008E46CA"/>
    <w:rsid w:val="00993A1C"/>
    <w:rsid w:val="00995F8A"/>
    <w:rsid w:val="009A28DD"/>
    <w:rsid w:val="00B879C9"/>
    <w:rsid w:val="00BE4E06"/>
    <w:rsid w:val="00C33F6D"/>
    <w:rsid w:val="00C66C04"/>
    <w:rsid w:val="00CD295F"/>
    <w:rsid w:val="00E96AFF"/>
    <w:rsid w:val="00F462D5"/>
    <w:rsid w:val="00F51337"/>
    <w:rsid w:val="03751222"/>
    <w:rsid w:val="087E5ED6"/>
    <w:rsid w:val="10344175"/>
    <w:rsid w:val="10950344"/>
    <w:rsid w:val="14C544DE"/>
    <w:rsid w:val="16A93FBA"/>
    <w:rsid w:val="18316FEC"/>
    <w:rsid w:val="19730045"/>
    <w:rsid w:val="1B3B6CD8"/>
    <w:rsid w:val="1CD83AD4"/>
    <w:rsid w:val="28E31734"/>
    <w:rsid w:val="298D64D6"/>
    <w:rsid w:val="2E722C7C"/>
    <w:rsid w:val="2EBC5DD8"/>
    <w:rsid w:val="2F7D571C"/>
    <w:rsid w:val="3AD62F4A"/>
    <w:rsid w:val="3E606C0D"/>
    <w:rsid w:val="3F625A53"/>
    <w:rsid w:val="3FC64A7F"/>
    <w:rsid w:val="496D73FD"/>
    <w:rsid w:val="4A091AF1"/>
    <w:rsid w:val="4C513BE2"/>
    <w:rsid w:val="4DE64FC7"/>
    <w:rsid w:val="500752BA"/>
    <w:rsid w:val="5A392CCC"/>
    <w:rsid w:val="61A31F77"/>
    <w:rsid w:val="67324E29"/>
    <w:rsid w:val="6A5C42C4"/>
    <w:rsid w:val="6A7F14C0"/>
    <w:rsid w:val="6CBA76B1"/>
    <w:rsid w:val="6F722BE7"/>
    <w:rsid w:val="7A615F8B"/>
    <w:rsid w:val="7B136824"/>
    <w:rsid w:val="7D5C424A"/>
    <w:rsid w:val="7D8B382E"/>
    <w:rsid w:val="7EF14BD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qFormat/>
    <w:locked/>
    <w:uiPriority w:val="99"/>
    <w:rPr>
      <w:rFonts w:ascii="Times New Roman" w:hAnsi="Times New Roman" w:eastAsia="仿宋_GB2312" w:cs="Times New Roman"/>
      <w:sz w:val="18"/>
      <w:szCs w:val="18"/>
    </w:rPr>
  </w:style>
  <w:style w:type="character" w:customStyle="1" w:styleId="7">
    <w:name w:val="Footer Char"/>
    <w:basedOn w:val="5"/>
    <w:link w:val="2"/>
    <w:qFormat/>
    <w:locked/>
    <w:uiPriority w:val="99"/>
    <w:rPr>
      <w:rFonts w:ascii="Times New Roman" w:hAnsi="Times New Roman" w:eastAsia="仿宋_GB2312" w:cs="Times New Roman"/>
      <w:sz w:val="18"/>
      <w:szCs w:val="18"/>
    </w:rPr>
  </w:style>
  <w:style w:type="paragraph" w:customStyle="1" w:styleId="8">
    <w:name w:val="Default"/>
    <w:qFormat/>
    <w:uiPriority w:val="99"/>
    <w:pPr>
      <w:widowControl w:val="0"/>
      <w:autoSpaceDE w:val="0"/>
      <w:autoSpaceDN w:val="0"/>
      <w:adjustRightInd w:val="0"/>
    </w:pPr>
    <w:rPr>
      <w:rFonts w:ascii="仿宋" w:hAnsi="Calibri" w:eastAsia="仿宋" w:cs="仿宋"/>
      <w:color w:val="000000"/>
      <w:kern w:val="0"/>
      <w:sz w:val="24"/>
      <w:szCs w:val="24"/>
      <w:lang w:val="en-US" w:eastAsia="zh-CN" w:bidi="ar-SA"/>
    </w:rPr>
  </w:style>
  <w:style w:type="paragraph" w:customStyle="1" w:styleId="9">
    <w:name w:val="标题 #1"/>
    <w:basedOn w:val="1"/>
    <w:qFormat/>
    <w:uiPriority w:val="0"/>
    <w:pPr>
      <w:widowControl w:val="0"/>
      <w:shd w:val="clear" w:color="auto" w:fill="auto"/>
      <w:spacing w:after="4240" w:line="658" w:lineRule="exact"/>
      <w:jc w:val="center"/>
      <w:outlineLvl w:val="0"/>
    </w:pPr>
    <w:rPr>
      <w:rFonts w:ascii="宋体" w:hAnsi="宋体" w:eastAsia="宋体" w:cs="宋体"/>
      <w:sz w:val="44"/>
      <w:szCs w:val="44"/>
      <w:u w:val="none"/>
      <w:shd w:val="clear" w:color="auto" w:fill="auto"/>
    </w:rPr>
  </w:style>
  <w:style w:type="paragraph" w:customStyle="1" w:styleId="10">
    <w:name w:val="正文文本1"/>
    <w:basedOn w:val="1"/>
    <w:qFormat/>
    <w:uiPriority w:val="0"/>
    <w:pPr>
      <w:widowControl w:val="0"/>
      <w:shd w:val="clear" w:color="auto" w:fill="auto"/>
      <w:spacing w:line="434" w:lineRule="auto"/>
      <w:ind w:firstLine="400"/>
    </w:pPr>
    <w:rPr>
      <w:rFonts w:ascii="宋体" w:hAnsi="宋体" w:eastAsia="宋体" w:cs="宋体"/>
      <w:sz w:val="30"/>
      <w:szCs w:val="30"/>
      <w:u w:val="none"/>
      <w:shd w:val="clear" w:color="auto" w:fill="auto"/>
    </w:rPr>
  </w:style>
  <w:style w:type="paragraph" w:customStyle="1" w:styleId="11">
    <w:name w:val="WPSOffice手动目录 1"/>
    <w:qFormat/>
    <w:uiPriority w:val="0"/>
    <w:pPr>
      <w:ind w:leftChars="0"/>
    </w:pPr>
    <w:rPr>
      <w:rFonts w:ascii="Calibri" w:hAnsi="Calibri" w:eastAsia="宋体" w:cs="Times New Roman"/>
      <w:sz w:val="20"/>
      <w:szCs w:val="20"/>
    </w:rPr>
  </w:style>
  <w:style w:type="paragraph" w:customStyle="1" w:styleId="12">
    <w:name w:val="WPSOffice手动目录 2"/>
    <w:qFormat/>
    <w:uiPriority w:val="0"/>
    <w:pPr>
      <w:ind w:leftChars="200"/>
    </w:pPr>
    <w:rPr>
      <w:rFonts w:ascii="Calibri" w:hAnsi="Calibri"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8</Pages>
  <Words>2585</Words>
  <Characters>2603</Characters>
  <Lines>0</Lines>
  <Paragraphs>0</Paragraphs>
  <TotalTime>22</TotalTime>
  <ScaleCrop>false</ScaleCrop>
  <LinksUpToDate>false</LinksUpToDate>
  <CharactersWithSpaces>2761</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2021-08-31T08:30:00Z</dcterms:created>
  <dc:creator>Microsoft</dc:creator>
  <cp:lastModifiedBy>Administrator</cp:lastModifiedBy>
  <cp:lastPrinted>2024-04-22T01:58:31Z</cp:lastPrinted>
  <dcterms:modified xsi:type="dcterms:W3CDTF">2024-04-22T02:02:24Z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1CC869C89F484781849D447A0B49F9E9_13</vt:lpwstr>
  </property>
</Properties>
</file>