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涉法涉诉信访救助基金项目</w:t>
      </w:r>
    </w:p>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（一）项目概况。</w:t>
      </w:r>
      <w:r>
        <w:rPr>
          <w:rFonts w:ascii="仿宋" w:hAnsi="仿宋" w:eastAsia="仿宋"/>
          <w:sz w:val="32"/>
          <w:lang w:eastAsia="zh-CN"/>
        </w:rPr>
        <w:t>为及时有效的化解各类涉法信访问题，保证信访救助政策的延续性，彻底息诉一批信访积案。</w:t>
      </w:r>
    </w:p>
    <w:p>
      <w:pPr>
        <w:spacing w:line="600" w:lineRule="exact"/>
        <w:ind w:firstLine="640" w:firstLineChars="200"/>
        <w:rPr>
          <w:rFonts w:ascii="仿宋" w:hAnsi="仿宋" w:eastAsia="仿宋"/>
          <w:sz w:val="32"/>
          <w:szCs w:val="32"/>
          <w:lang w:eastAsia="zh-CN"/>
        </w:rPr>
      </w:pPr>
      <w:r>
        <w:rPr>
          <w:rFonts w:hint="eastAsia" w:ascii="仿宋_GB2312" w:eastAsia="仿宋_GB2312"/>
          <w:sz w:val="32"/>
          <w:szCs w:val="32"/>
        </w:rPr>
        <w:t>（二）项目绩效目标。</w:t>
      </w:r>
      <w:r>
        <w:rPr>
          <w:rFonts w:ascii="仿宋" w:hAnsi="仿宋" w:eastAsia="仿宋"/>
          <w:sz w:val="32"/>
          <w:szCs w:val="32"/>
          <w:lang w:eastAsia="zh-CN"/>
        </w:rPr>
        <w:t>切实加强涉法涉诉信访工作，耐心细致地做好初信初访化解处置工作。继续抓好涉法涉诉信访积案化解攻坚活动，不息诉案件全部做到“三不欠、四到位”，省市督办案件全部按期办结。对长年上访的信访老户，要坚持解决问题和人员稳控两手抓。</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1、效果指标－社会效益指标－通过实施救助政策促进社会稳定水平逐步提高，指标值为&gt;＝90%。</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lang w:eastAsia="zh-CN"/>
        </w:rPr>
        <w:t>、产出指标-符合条件申报对象覆盖率-司法救助已结案件与全部立案的司法救助案件的比例，指标值为&gt;＝90%。以上指标依据上级相关文件规定。</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满意度指标－服务对象满意度－满意和较为满意的救助对象数量占调查总数的比率，指标值为&gt;＝90%。</w:t>
      </w:r>
      <w:r>
        <w:rPr>
          <w:rFonts w:hint="eastAsia" w:ascii="仿宋_GB2312" w:eastAsia="仿宋_GB2312"/>
          <w:sz w:val="32"/>
          <w:szCs w:val="32"/>
        </w:rPr>
        <w:t>服务对象满意度</w:t>
      </w:r>
      <w:r>
        <w:rPr>
          <w:rFonts w:hint="eastAsia" w:ascii="仿宋_GB2312" w:eastAsia="仿宋_GB2312"/>
          <w:sz w:val="32"/>
          <w:szCs w:val="32"/>
        </w:rPr>
        <w:tab/>
      </w:r>
      <w:r>
        <w:rPr>
          <w:rFonts w:hint="eastAsia" w:ascii="仿宋_GB2312" w:eastAsia="仿宋_GB2312"/>
          <w:sz w:val="32"/>
          <w:szCs w:val="32"/>
        </w:rPr>
        <w:t>接受服务的重点人群对提供服务的满意程度</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53061A8"/>
    <w:rsid w:val="0FD13331"/>
    <w:rsid w:val="3BB374A4"/>
    <w:rsid w:val="406C5D60"/>
    <w:rsid w:val="4595474B"/>
    <w:rsid w:val="49D67DF9"/>
    <w:rsid w:val="51D879E2"/>
    <w:rsid w:val="52F21BE1"/>
    <w:rsid w:val="5E0D1974"/>
    <w:rsid w:val="63AF0C61"/>
    <w:rsid w:val="734B4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2024-04-18T08:09:36Z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ABE6865F79174663B16D2AD3E9F33DD5</vt:lpwstr>
  </property>
</Properties>
</file>