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E1C" w:rsidRDefault="003B0E1C">
      <w:pPr>
        <w:widowControl/>
        <w:spacing w:line="600" w:lineRule="exact"/>
        <w:jc w:val="center"/>
        <w:rPr>
          <w:rFonts w:ascii="方正小标宋_GBK" w:eastAsia="方正小标宋_GBK" w:hAnsi="宋体" w:cs="宋体"/>
          <w:bCs/>
          <w:kern w:val="0"/>
          <w:sz w:val="44"/>
          <w:szCs w:val="44"/>
        </w:rPr>
      </w:pPr>
    </w:p>
    <w:p w:rsidR="003B0E1C" w:rsidRDefault="00662D4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rPr>
        <w:t>民政</w:t>
      </w:r>
      <w:r>
        <w:rPr>
          <w:rFonts w:ascii="方正小标宋_GBK" w:eastAsia="方正小标宋_GBK" w:hAnsi="宋体" w:cs="宋体" w:hint="eastAsia"/>
          <w:bCs/>
          <w:kern w:val="0"/>
          <w:sz w:val="44"/>
          <w:szCs w:val="44"/>
        </w:rPr>
        <w:t>局</w:t>
      </w:r>
    </w:p>
    <w:p w:rsidR="003B0E1C" w:rsidRDefault="00662D4E">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3B0E1C" w:rsidRDefault="00E3664D">
      <w:pPr>
        <w:spacing w:line="600" w:lineRule="exact"/>
        <w:rPr>
          <w:rFonts w:ascii="仿宋_GB2312" w:eastAsia="仿宋_GB2312"/>
          <w:sz w:val="32"/>
          <w:szCs w:val="32"/>
        </w:rPr>
      </w:pPr>
      <w:r>
        <w:rPr>
          <w:rFonts w:ascii="仿宋_GB2312" w:eastAsia="仿宋_GB2312" w:hint="eastAsia"/>
          <w:sz w:val="32"/>
          <w:szCs w:val="32"/>
        </w:rPr>
        <w:t xml:space="preserve">    </w:t>
      </w:r>
      <w:r w:rsidR="00662D4E">
        <w:rPr>
          <w:rFonts w:ascii="仿宋_GB2312" w:eastAsia="仿宋_GB2312" w:hint="eastAsia"/>
          <w:sz w:val="32"/>
          <w:szCs w:val="32"/>
        </w:rPr>
        <w:t>根据《中共玉田县委玉田县人民政府关于全面实施预算绩效管理的实施意见》（玉发【</w:t>
      </w:r>
      <w:r w:rsidR="00662D4E">
        <w:rPr>
          <w:rFonts w:ascii="仿宋_GB2312" w:eastAsia="仿宋_GB2312" w:hint="eastAsia"/>
          <w:sz w:val="32"/>
          <w:szCs w:val="32"/>
        </w:rPr>
        <w:t>2019</w:t>
      </w:r>
      <w:r w:rsidR="00662D4E">
        <w:rPr>
          <w:rFonts w:ascii="仿宋_GB2312" w:eastAsia="仿宋_GB2312" w:hint="eastAsia"/>
          <w:sz w:val="32"/>
          <w:szCs w:val="32"/>
        </w:rPr>
        <w:t>】</w:t>
      </w:r>
      <w:r w:rsidR="00662D4E">
        <w:rPr>
          <w:rFonts w:ascii="仿宋_GB2312" w:eastAsia="仿宋_GB2312" w:hint="eastAsia"/>
          <w:sz w:val="32"/>
          <w:szCs w:val="32"/>
        </w:rPr>
        <w:t>7</w:t>
      </w:r>
      <w:r w:rsidR="00662D4E">
        <w:rPr>
          <w:rFonts w:ascii="仿宋_GB2312" w:eastAsia="仿宋_GB2312" w:hint="eastAsia"/>
          <w:sz w:val="32"/>
          <w:szCs w:val="32"/>
        </w:rPr>
        <w:t>号）文件要求，结合财政部关于印发《项目支出绩效评价管理办法》（财预【</w:t>
      </w:r>
      <w:r w:rsidR="00662D4E">
        <w:rPr>
          <w:rFonts w:ascii="仿宋_GB2312" w:eastAsia="仿宋_GB2312" w:hint="eastAsia"/>
          <w:sz w:val="32"/>
          <w:szCs w:val="32"/>
        </w:rPr>
        <w:t>2020</w:t>
      </w:r>
      <w:r w:rsidR="00662D4E">
        <w:rPr>
          <w:rFonts w:ascii="仿宋_GB2312" w:eastAsia="仿宋_GB2312" w:hint="eastAsia"/>
          <w:sz w:val="32"/>
          <w:szCs w:val="32"/>
        </w:rPr>
        <w:t>】</w:t>
      </w:r>
      <w:r w:rsidR="00662D4E">
        <w:rPr>
          <w:rFonts w:ascii="仿宋_GB2312" w:eastAsia="仿宋_GB2312" w:hint="eastAsia"/>
          <w:sz w:val="32"/>
          <w:szCs w:val="32"/>
        </w:rPr>
        <w:t>10</w:t>
      </w:r>
      <w:r w:rsidR="00662D4E">
        <w:rPr>
          <w:rFonts w:ascii="仿宋_GB2312" w:eastAsia="仿宋_GB2312" w:hint="eastAsia"/>
          <w:sz w:val="32"/>
          <w:szCs w:val="32"/>
        </w:rPr>
        <w:t>号）及《省级预算项目绩效自评工作的通知</w:t>
      </w:r>
      <w:bookmarkStart w:id="0" w:name="_GoBack"/>
      <w:bookmarkEnd w:id="0"/>
      <w:r w:rsidR="00662D4E">
        <w:rPr>
          <w:rFonts w:ascii="仿宋_GB2312" w:eastAsia="仿宋_GB2312" w:hint="eastAsia"/>
          <w:sz w:val="32"/>
          <w:szCs w:val="32"/>
        </w:rPr>
        <w:t>》为进一步规范财政资金管理，强化部门支出责任，提高财政资金使用效益，对我部门</w:t>
      </w:r>
      <w:r w:rsidR="00662D4E">
        <w:rPr>
          <w:rFonts w:ascii="仿宋_GB2312" w:eastAsia="仿宋_GB2312" w:hint="eastAsia"/>
          <w:sz w:val="32"/>
          <w:szCs w:val="32"/>
        </w:rPr>
        <w:t>2023</w:t>
      </w:r>
      <w:r w:rsidR="00662D4E">
        <w:rPr>
          <w:rFonts w:ascii="仿宋_GB2312" w:eastAsia="仿宋_GB2312" w:hint="eastAsia"/>
          <w:sz w:val="32"/>
          <w:szCs w:val="32"/>
        </w:rPr>
        <w:t>年项目支出进行了绩效评价。现将有关情况报告如下：</w:t>
      </w:r>
    </w:p>
    <w:p w:rsidR="003B0E1C" w:rsidRDefault="00662D4E">
      <w:pPr>
        <w:spacing w:line="600" w:lineRule="exact"/>
        <w:ind w:firstLineChars="200" w:firstLine="640"/>
        <w:rPr>
          <w:rFonts w:eastAsia="黑体"/>
          <w:sz w:val="32"/>
          <w:szCs w:val="32"/>
        </w:rPr>
      </w:pPr>
      <w:r>
        <w:rPr>
          <w:rFonts w:eastAsia="黑体" w:hint="eastAsia"/>
          <w:sz w:val="32"/>
          <w:szCs w:val="32"/>
        </w:rPr>
        <w:t>一、基本情况</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以习近平总书记关于积极应对人口老龄化系列重要论述为指导，深入贯彻落实党的十九大和十九届四中全会精神，加快推进居家社区机构相协调、医养康养相结合的养老服务体系建设，不断满足老年人多层次、多样化养老服务需求。我县严格按照《河北省民政厅</w:t>
      </w:r>
      <w:r>
        <w:rPr>
          <w:rFonts w:ascii="仿宋_GB2312" w:eastAsia="仿宋_GB2312" w:hint="eastAsia"/>
          <w:sz w:val="32"/>
          <w:szCs w:val="32"/>
        </w:rPr>
        <w:t xml:space="preserve"> </w:t>
      </w:r>
      <w:r>
        <w:rPr>
          <w:rFonts w:ascii="仿宋_GB2312" w:eastAsia="仿宋_GB2312" w:hint="eastAsia"/>
          <w:sz w:val="32"/>
          <w:szCs w:val="32"/>
        </w:rPr>
        <w:t>河北省财政厅</w:t>
      </w:r>
      <w:r>
        <w:rPr>
          <w:rFonts w:ascii="仿宋_GB2312" w:eastAsia="仿宋_GB2312" w:hint="eastAsia"/>
          <w:sz w:val="32"/>
          <w:szCs w:val="32"/>
        </w:rPr>
        <w:t xml:space="preserve"> </w:t>
      </w:r>
      <w:r>
        <w:rPr>
          <w:rFonts w:ascii="仿宋_GB2312" w:eastAsia="仿宋_GB2312" w:hint="eastAsia"/>
          <w:sz w:val="32"/>
          <w:szCs w:val="32"/>
        </w:rPr>
        <w:t>关于省级财政支持养老服务体系建设改革的实施意见》通知要求，落实针对民办养老机构的各项扶持政策，包括运营奖补、建设奖补等，充分利用财政资金调动社会资本的投入。设立</w:t>
      </w:r>
      <w:r>
        <w:rPr>
          <w:rFonts w:ascii="仿宋_GB2312" w:eastAsia="仿宋_GB2312" w:hint="eastAsia"/>
          <w:sz w:val="32"/>
          <w:szCs w:val="32"/>
        </w:rPr>
        <w:t>196</w:t>
      </w:r>
      <w:r>
        <w:rPr>
          <w:rFonts w:ascii="仿宋_GB2312" w:eastAsia="仿宋_GB2312" w:hint="eastAsia"/>
          <w:sz w:val="32"/>
          <w:szCs w:val="32"/>
        </w:rPr>
        <w:t>万元养老服务体系建设经费，用于加强养老服务设施建设，构建养老服务体系。</w:t>
      </w:r>
    </w:p>
    <w:p w:rsidR="003B0E1C" w:rsidRDefault="00662D4E">
      <w:pPr>
        <w:numPr>
          <w:ilvl w:val="0"/>
          <w:numId w:val="1"/>
        </w:num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项目绩效目标。</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以科学发展观</w:t>
      </w:r>
      <w:r>
        <w:rPr>
          <w:rFonts w:ascii="仿宋_GB2312" w:eastAsia="仿宋_GB2312" w:hint="eastAsia"/>
          <w:sz w:val="32"/>
          <w:szCs w:val="32"/>
        </w:rPr>
        <w:t>和党的十九大精神为指导，努力完善养老保障体系建设，着力解决高龄老人基本生活问题。</w:t>
      </w:r>
      <w:r>
        <w:rPr>
          <w:rFonts w:ascii="仿宋_GB2312" w:eastAsia="仿宋_GB2312" w:hint="eastAsia"/>
          <w:sz w:val="32"/>
          <w:szCs w:val="32"/>
        </w:rPr>
        <w:t>2023</w:t>
      </w:r>
      <w:r>
        <w:rPr>
          <w:rFonts w:ascii="仿宋_GB2312" w:eastAsia="仿宋_GB2312" w:hint="eastAsia"/>
          <w:sz w:val="32"/>
          <w:szCs w:val="32"/>
        </w:rPr>
        <w:t>年我县共有社区</w:t>
      </w:r>
      <w:r>
        <w:rPr>
          <w:rFonts w:ascii="仿宋_GB2312" w:eastAsia="仿宋_GB2312" w:hint="eastAsia"/>
          <w:sz w:val="32"/>
          <w:szCs w:val="32"/>
        </w:rPr>
        <w:t>23</w:t>
      </w:r>
      <w:r>
        <w:rPr>
          <w:rFonts w:ascii="仿宋_GB2312" w:eastAsia="仿宋_GB2312" w:hint="eastAsia"/>
          <w:sz w:val="32"/>
          <w:szCs w:val="32"/>
        </w:rPr>
        <w:t>个，老年人口约</w:t>
      </w:r>
      <w:r>
        <w:rPr>
          <w:rFonts w:ascii="仿宋_GB2312" w:eastAsia="仿宋_GB2312" w:hint="eastAsia"/>
          <w:sz w:val="32"/>
          <w:szCs w:val="32"/>
        </w:rPr>
        <w:t>30000</w:t>
      </w:r>
      <w:r>
        <w:rPr>
          <w:rFonts w:ascii="仿宋_GB2312" w:eastAsia="仿宋_GB2312" w:hint="eastAsia"/>
          <w:sz w:val="32"/>
          <w:szCs w:val="32"/>
        </w:rPr>
        <w:t>人，需要建有社区日间照料机构，其中包括服务站、服务中心，能够为社区老年人提供基本的日间休闲、文化娱乐、助餐助行等服务需求，要求服务设施实现城区范围内</w:t>
      </w:r>
      <w:r>
        <w:rPr>
          <w:rFonts w:ascii="仿宋_GB2312" w:eastAsia="仿宋_GB2312" w:hint="eastAsia"/>
          <w:sz w:val="32"/>
          <w:szCs w:val="32"/>
        </w:rPr>
        <w:t>100%</w:t>
      </w:r>
      <w:r>
        <w:rPr>
          <w:rFonts w:ascii="仿宋_GB2312" w:eastAsia="仿宋_GB2312" w:hint="eastAsia"/>
          <w:sz w:val="32"/>
          <w:szCs w:val="32"/>
        </w:rPr>
        <w:t>全覆盖。</w:t>
      </w:r>
    </w:p>
    <w:p w:rsidR="003B0E1C" w:rsidRDefault="00662D4E">
      <w:pPr>
        <w:spacing w:line="600" w:lineRule="exact"/>
        <w:ind w:firstLineChars="200" w:firstLine="640"/>
        <w:rPr>
          <w:rFonts w:eastAsia="黑体"/>
          <w:sz w:val="32"/>
          <w:szCs w:val="32"/>
        </w:rPr>
      </w:pPr>
      <w:r>
        <w:rPr>
          <w:rFonts w:eastAsia="黑体" w:hint="eastAsia"/>
          <w:sz w:val="32"/>
          <w:szCs w:val="32"/>
        </w:rPr>
        <w:t>二、绩效评价工作开展情况</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w:t>
      </w:r>
      <w:r>
        <w:rPr>
          <w:rFonts w:ascii="仿宋_GB2312" w:eastAsia="仿宋_GB2312" w:hint="eastAsia"/>
          <w:sz w:val="32"/>
          <w:szCs w:val="32"/>
        </w:rPr>
        <w:t>件以及我局项目评价指标、评价方法、评价标准等评价要素，为评价工作打下了坚实的理论基础。</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B0E1C" w:rsidRDefault="00662D4E">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绩效评价目的、对象和范围。</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为</w:t>
      </w:r>
      <w:r>
        <w:rPr>
          <w:rFonts w:ascii="仿宋_GB2312" w:eastAsia="仿宋_GB2312" w:hint="eastAsia"/>
          <w:sz w:val="32"/>
          <w:szCs w:val="32"/>
        </w:rPr>
        <w:t>努力完善养老保障体系建设，着力解决</w:t>
      </w:r>
      <w:r>
        <w:rPr>
          <w:rFonts w:ascii="仿宋_GB2312" w:eastAsia="仿宋_GB2312" w:hint="eastAsia"/>
          <w:sz w:val="32"/>
          <w:szCs w:val="32"/>
        </w:rPr>
        <w:t>2023</w:t>
      </w:r>
      <w:r>
        <w:rPr>
          <w:rFonts w:ascii="仿宋_GB2312" w:eastAsia="仿宋_GB2312" w:hint="eastAsia"/>
          <w:sz w:val="32"/>
          <w:szCs w:val="32"/>
        </w:rPr>
        <w:t>年我县老年人的养老环境</w:t>
      </w:r>
      <w:r>
        <w:rPr>
          <w:rFonts w:ascii="仿宋_GB2312" w:eastAsia="仿宋_GB2312" w:hint="eastAsia"/>
          <w:sz w:val="32"/>
          <w:szCs w:val="32"/>
        </w:rPr>
        <w:t>。</w:t>
      </w:r>
      <w:r>
        <w:rPr>
          <w:rFonts w:ascii="仿宋_GB2312" w:eastAsia="仿宋_GB2312" w:hint="eastAsia"/>
          <w:sz w:val="32"/>
          <w:szCs w:val="32"/>
        </w:rPr>
        <w:t>2023</w:t>
      </w:r>
      <w:r>
        <w:rPr>
          <w:rFonts w:ascii="仿宋_GB2312" w:eastAsia="仿宋_GB2312" w:hint="eastAsia"/>
          <w:sz w:val="32"/>
          <w:szCs w:val="32"/>
        </w:rPr>
        <w:t>年扶持民办养老机构数量为星级养老机构</w:t>
      </w:r>
      <w:r>
        <w:rPr>
          <w:rFonts w:ascii="仿宋_GB2312" w:eastAsia="仿宋_GB2312" w:hint="eastAsia"/>
          <w:sz w:val="32"/>
          <w:szCs w:val="32"/>
        </w:rPr>
        <w:t>2</w:t>
      </w:r>
      <w:r>
        <w:rPr>
          <w:rFonts w:ascii="仿宋_GB2312" w:eastAsia="仿宋_GB2312" w:hint="eastAsia"/>
          <w:sz w:val="32"/>
          <w:szCs w:val="32"/>
        </w:rPr>
        <w:t>家，主要发放运营奖补，自理、轻度失能老年人</w:t>
      </w:r>
      <w:r>
        <w:rPr>
          <w:rFonts w:ascii="仿宋_GB2312" w:eastAsia="仿宋_GB2312" w:hint="eastAsia"/>
          <w:sz w:val="32"/>
          <w:szCs w:val="32"/>
        </w:rPr>
        <w:t>100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月、中度重度失能老年人</w:t>
      </w:r>
      <w:r>
        <w:rPr>
          <w:rFonts w:ascii="仿宋_GB2312" w:eastAsia="仿宋_GB2312" w:hint="eastAsia"/>
          <w:sz w:val="32"/>
          <w:szCs w:val="32"/>
        </w:rPr>
        <w:t>300</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月。</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我县目前共有社区</w:t>
      </w:r>
      <w:r>
        <w:rPr>
          <w:rFonts w:ascii="仿宋_GB2312" w:eastAsia="仿宋_GB2312" w:hint="eastAsia"/>
          <w:sz w:val="32"/>
          <w:szCs w:val="32"/>
        </w:rPr>
        <w:t>23</w:t>
      </w:r>
      <w:r>
        <w:rPr>
          <w:rFonts w:ascii="仿宋_GB2312" w:eastAsia="仿宋_GB2312" w:hint="eastAsia"/>
          <w:sz w:val="32"/>
          <w:szCs w:val="32"/>
        </w:rPr>
        <w:t>个，老年人口约</w:t>
      </w:r>
      <w:r>
        <w:rPr>
          <w:rFonts w:ascii="仿宋_GB2312" w:eastAsia="仿宋_GB2312" w:hint="eastAsia"/>
          <w:sz w:val="32"/>
          <w:szCs w:val="32"/>
        </w:rPr>
        <w:t>30000</w:t>
      </w:r>
      <w:r>
        <w:rPr>
          <w:rFonts w:ascii="仿宋_GB2312" w:eastAsia="仿宋_GB2312" w:hint="eastAsia"/>
          <w:sz w:val="32"/>
          <w:szCs w:val="32"/>
        </w:rPr>
        <w:t>人，建有社区日间照料机构</w:t>
      </w:r>
      <w:r>
        <w:rPr>
          <w:rFonts w:ascii="仿宋_GB2312" w:eastAsia="仿宋_GB2312" w:hint="eastAsia"/>
          <w:sz w:val="32"/>
          <w:szCs w:val="32"/>
        </w:rPr>
        <w:t>24</w:t>
      </w:r>
      <w:r>
        <w:rPr>
          <w:rFonts w:ascii="仿宋_GB2312" w:eastAsia="仿宋_GB2312" w:hint="eastAsia"/>
          <w:sz w:val="32"/>
          <w:szCs w:val="32"/>
        </w:rPr>
        <w:t>处，其中包括</w:t>
      </w:r>
      <w:r>
        <w:rPr>
          <w:rFonts w:ascii="仿宋_GB2312" w:eastAsia="仿宋_GB2312" w:hint="eastAsia"/>
          <w:sz w:val="32"/>
          <w:szCs w:val="32"/>
        </w:rPr>
        <w:t>23</w:t>
      </w:r>
      <w:r>
        <w:rPr>
          <w:rFonts w:ascii="仿宋_GB2312" w:eastAsia="仿宋_GB2312" w:hint="eastAsia"/>
          <w:sz w:val="32"/>
          <w:szCs w:val="32"/>
        </w:rPr>
        <w:t>处服务站、</w:t>
      </w:r>
      <w:r>
        <w:rPr>
          <w:rFonts w:ascii="仿宋_GB2312" w:eastAsia="仿宋_GB2312" w:hint="eastAsia"/>
          <w:sz w:val="32"/>
          <w:szCs w:val="32"/>
        </w:rPr>
        <w:t>1</w:t>
      </w:r>
      <w:r>
        <w:rPr>
          <w:rFonts w:ascii="仿宋_GB2312" w:eastAsia="仿宋_GB2312" w:hint="eastAsia"/>
          <w:sz w:val="32"/>
          <w:szCs w:val="32"/>
        </w:rPr>
        <w:t>处服务中心，能够为社区老年人提供基本的日间休闲、文化娱乐、助餐助行等服务需求，目前服务设施已基本实现了城区范围内</w:t>
      </w:r>
      <w:r>
        <w:rPr>
          <w:rFonts w:ascii="仿宋_GB2312" w:eastAsia="仿宋_GB2312" w:hint="eastAsia"/>
          <w:sz w:val="32"/>
          <w:szCs w:val="32"/>
        </w:rPr>
        <w:t>100%</w:t>
      </w:r>
      <w:r>
        <w:rPr>
          <w:rFonts w:ascii="仿宋_GB2312" w:eastAsia="仿宋_GB2312" w:hint="eastAsia"/>
          <w:sz w:val="32"/>
          <w:szCs w:val="32"/>
        </w:rPr>
        <w:t>全覆盖。</w:t>
      </w:r>
    </w:p>
    <w:p w:rsidR="003B0E1C" w:rsidRDefault="00662D4E">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绩效评价原则、评价指标体系（附表说明）、评价方法、评价标准等。</w:t>
      </w:r>
    </w:p>
    <w:p w:rsidR="003B0E1C" w:rsidRDefault="00662D4E">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绩效评价原则为客观评价、实事求是，评价依据为取得的成果，具体情况见附表。</w:t>
      </w:r>
    </w:p>
    <w:p w:rsidR="003B0E1C" w:rsidRDefault="00662D4E">
      <w:pPr>
        <w:spacing w:line="600" w:lineRule="exact"/>
        <w:ind w:firstLineChars="200" w:firstLine="640"/>
        <w:rPr>
          <w:rFonts w:eastAsia="黑体"/>
          <w:sz w:val="32"/>
          <w:szCs w:val="32"/>
        </w:rPr>
      </w:pPr>
      <w:r>
        <w:rPr>
          <w:rFonts w:eastAsia="黑体" w:hint="eastAsia"/>
          <w:sz w:val="32"/>
          <w:szCs w:val="32"/>
        </w:rPr>
        <w:t>三、综合评价情况及评价结论</w:t>
      </w:r>
    </w:p>
    <w:p w:rsidR="003B0E1C" w:rsidRDefault="00662D4E">
      <w:pPr>
        <w:spacing w:line="600" w:lineRule="exact"/>
        <w:ind w:firstLineChars="200" w:firstLine="640"/>
        <w:rPr>
          <w:rFonts w:eastAsia="黑体"/>
          <w:sz w:val="32"/>
          <w:szCs w:val="32"/>
        </w:rPr>
      </w:pPr>
      <w:r>
        <w:rPr>
          <w:rFonts w:ascii="仿宋" w:eastAsia="仿宋" w:hAnsi="仿宋" w:cs="Arial"/>
          <w:sz w:val="32"/>
          <w:szCs w:val="32"/>
        </w:rPr>
        <w:t>项目资金使用合规，无截留、挪用等现象，资金使用效益明显。</w:t>
      </w:r>
    </w:p>
    <w:p w:rsidR="003B0E1C" w:rsidRDefault="00662D4E">
      <w:pPr>
        <w:spacing w:line="600" w:lineRule="exact"/>
        <w:ind w:firstLineChars="200" w:firstLine="640"/>
        <w:rPr>
          <w:rFonts w:eastAsia="黑体"/>
          <w:sz w:val="32"/>
          <w:szCs w:val="32"/>
        </w:rPr>
      </w:pPr>
      <w:r>
        <w:rPr>
          <w:rFonts w:eastAsia="黑体" w:hint="eastAsia"/>
          <w:sz w:val="32"/>
          <w:szCs w:val="32"/>
        </w:rPr>
        <w:t>四、绩效评价指标分析</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我县严格按照《河北省民政厅</w:t>
      </w:r>
      <w:r>
        <w:rPr>
          <w:rFonts w:ascii="仿宋_GB2312" w:eastAsia="仿宋_GB2312" w:hint="eastAsia"/>
          <w:sz w:val="32"/>
          <w:szCs w:val="32"/>
        </w:rPr>
        <w:t xml:space="preserve"> </w:t>
      </w:r>
      <w:r>
        <w:rPr>
          <w:rFonts w:ascii="仿宋_GB2312" w:eastAsia="仿宋_GB2312" w:hint="eastAsia"/>
          <w:sz w:val="32"/>
          <w:szCs w:val="32"/>
        </w:rPr>
        <w:t>河北省财政厅</w:t>
      </w:r>
      <w:r>
        <w:rPr>
          <w:rFonts w:ascii="仿宋_GB2312" w:eastAsia="仿宋_GB2312" w:hint="eastAsia"/>
          <w:sz w:val="32"/>
          <w:szCs w:val="32"/>
        </w:rPr>
        <w:t xml:space="preserve"> </w:t>
      </w:r>
      <w:r>
        <w:rPr>
          <w:rFonts w:ascii="仿宋_GB2312" w:eastAsia="仿宋_GB2312" w:hint="eastAsia"/>
          <w:sz w:val="32"/>
          <w:szCs w:val="32"/>
        </w:rPr>
        <w:t>关于省级财政支持养老服务体系建设改革的实施意见》通知要求，落实针对民办养老机构的各项扶持政策，包括运营奖补、建设奖补等，充分利用财政资金调动社会资本的投入。</w:t>
      </w:r>
    </w:p>
    <w:p w:rsidR="003B0E1C" w:rsidRDefault="00662D4E">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项目过程情况。</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资金到位率为</w:t>
      </w:r>
      <w:r>
        <w:rPr>
          <w:rFonts w:ascii="仿宋_GB2312" w:eastAsia="仿宋_GB2312" w:hint="eastAsia"/>
          <w:sz w:val="32"/>
          <w:szCs w:val="32"/>
        </w:rPr>
        <w:t>100</w:t>
      </w:r>
      <w:r>
        <w:rPr>
          <w:rFonts w:ascii="仿宋_GB2312" w:eastAsia="仿宋_GB2312" w:hint="eastAsia"/>
          <w:sz w:val="32"/>
          <w:szCs w:val="32"/>
        </w:rPr>
        <w:t>％。省民政厅会同省财政厅每年依据</w:t>
      </w:r>
      <w:r>
        <w:rPr>
          <w:rFonts w:ascii="仿宋_GB2312" w:eastAsia="仿宋_GB2312" w:hint="eastAsia"/>
          <w:sz w:val="32"/>
          <w:szCs w:val="32"/>
        </w:rPr>
        <w:t xml:space="preserve"> </w:t>
      </w:r>
      <w:r>
        <w:rPr>
          <w:rFonts w:ascii="仿宋_GB2312" w:eastAsia="仿宋_GB2312" w:hint="eastAsia"/>
          <w:sz w:val="32"/>
          <w:szCs w:val="32"/>
        </w:rPr>
        <w:t>“全国养老机构业务管理系统”“河北省养老信息管理系统”</w:t>
      </w:r>
      <w:r>
        <w:rPr>
          <w:rFonts w:ascii="仿宋_GB2312" w:eastAsia="仿宋_GB2312" w:hint="eastAsia"/>
          <w:sz w:val="32"/>
          <w:szCs w:val="32"/>
        </w:rPr>
        <w:t xml:space="preserve"> </w:t>
      </w:r>
      <w:r>
        <w:rPr>
          <w:rFonts w:ascii="仿宋_GB2312" w:eastAsia="仿宋_GB2312" w:hint="eastAsia"/>
          <w:sz w:val="32"/>
          <w:szCs w:val="32"/>
        </w:rPr>
        <w:t>相关数据，分配并提前下达下年度省级资金；因系统数据更新不及时导致资金缺口的，由市、县财政承担。省级资金翌年</w:t>
      </w:r>
      <w:r>
        <w:rPr>
          <w:rFonts w:ascii="仿宋_GB2312" w:eastAsia="仿宋_GB2312" w:hint="eastAsia"/>
          <w:sz w:val="32"/>
          <w:szCs w:val="32"/>
        </w:rPr>
        <w:t xml:space="preserve"> 10</w:t>
      </w:r>
      <w:r>
        <w:rPr>
          <w:rFonts w:ascii="仿宋_GB2312" w:eastAsia="仿宋_GB2312" w:hint="eastAsia"/>
          <w:sz w:val="32"/>
          <w:szCs w:val="32"/>
        </w:rPr>
        <w:t>月底前据实结算，不足部分压年安排，结余部分在安排下年度资金中扣除。</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加强监督，建立起事前事中事后相结合、日常监督与重点抽查相结合的监管体系，确保奖补政策落实到位，确保资金使用规范安全高效。</w:t>
      </w:r>
    </w:p>
    <w:p w:rsidR="003B0E1C" w:rsidRPr="00E3664D" w:rsidRDefault="00662D4E" w:rsidP="00E3664D">
      <w:pPr>
        <w:numPr>
          <w:ilvl w:val="0"/>
          <w:numId w:val="3"/>
        </w:numPr>
        <w:spacing w:line="600" w:lineRule="exact"/>
        <w:ind w:firstLineChars="200" w:firstLine="640"/>
        <w:outlineLvl w:val="0"/>
        <w:rPr>
          <w:rFonts w:ascii="仿宋_GB2312" w:eastAsia="仿宋_GB2312"/>
          <w:sz w:val="32"/>
          <w:szCs w:val="32"/>
        </w:rPr>
      </w:pPr>
      <w:r w:rsidRPr="00E3664D">
        <w:rPr>
          <w:rFonts w:ascii="仿宋_GB2312" w:eastAsia="仿宋_GB2312" w:hint="eastAsia"/>
          <w:sz w:val="32"/>
          <w:szCs w:val="32"/>
        </w:rPr>
        <w:t>项目产出情况。</w:t>
      </w:r>
      <w:r w:rsidRPr="00E3664D">
        <w:rPr>
          <w:rFonts w:ascii="仿宋_GB2312" w:eastAsia="仿宋_GB2312" w:hint="eastAsia"/>
          <w:sz w:val="32"/>
          <w:szCs w:val="32"/>
        </w:rPr>
        <w:t>我县目前建有社区日间照</w:t>
      </w:r>
      <w:r w:rsidRPr="00E3664D">
        <w:rPr>
          <w:rFonts w:ascii="仿宋_GB2312" w:eastAsia="仿宋_GB2312" w:hint="eastAsia"/>
          <w:sz w:val="32"/>
          <w:szCs w:val="32"/>
        </w:rPr>
        <w:t>料机构</w:t>
      </w:r>
      <w:r w:rsidRPr="00E3664D">
        <w:rPr>
          <w:rFonts w:ascii="仿宋_GB2312" w:eastAsia="仿宋_GB2312" w:hint="eastAsia"/>
          <w:sz w:val="32"/>
          <w:szCs w:val="32"/>
        </w:rPr>
        <w:t>24</w:t>
      </w:r>
      <w:r w:rsidRPr="00E3664D">
        <w:rPr>
          <w:rFonts w:ascii="仿宋_GB2312" w:eastAsia="仿宋_GB2312" w:hint="eastAsia"/>
          <w:sz w:val="32"/>
          <w:szCs w:val="32"/>
        </w:rPr>
        <w:t>处，其中包括</w:t>
      </w:r>
      <w:r w:rsidRPr="00E3664D">
        <w:rPr>
          <w:rFonts w:ascii="仿宋_GB2312" w:eastAsia="仿宋_GB2312" w:hint="eastAsia"/>
          <w:sz w:val="32"/>
          <w:szCs w:val="32"/>
        </w:rPr>
        <w:t>23</w:t>
      </w:r>
      <w:r w:rsidRPr="00E3664D">
        <w:rPr>
          <w:rFonts w:ascii="仿宋_GB2312" w:eastAsia="仿宋_GB2312" w:hint="eastAsia"/>
          <w:sz w:val="32"/>
          <w:szCs w:val="32"/>
        </w:rPr>
        <w:t>处服务站、</w:t>
      </w:r>
      <w:r w:rsidRPr="00E3664D">
        <w:rPr>
          <w:rFonts w:ascii="仿宋_GB2312" w:eastAsia="仿宋_GB2312" w:hint="eastAsia"/>
          <w:sz w:val="32"/>
          <w:szCs w:val="32"/>
        </w:rPr>
        <w:t>1</w:t>
      </w:r>
      <w:r w:rsidRPr="00E3664D">
        <w:rPr>
          <w:rFonts w:ascii="仿宋_GB2312" w:eastAsia="仿宋_GB2312" w:hint="eastAsia"/>
          <w:sz w:val="32"/>
          <w:szCs w:val="32"/>
        </w:rPr>
        <w:t>处服务中心，服务设施实现了城区范围内</w:t>
      </w:r>
      <w:r w:rsidRPr="00E3664D">
        <w:rPr>
          <w:rFonts w:ascii="仿宋_GB2312" w:eastAsia="仿宋_GB2312" w:hint="eastAsia"/>
          <w:sz w:val="32"/>
          <w:szCs w:val="32"/>
        </w:rPr>
        <w:t>100%</w:t>
      </w:r>
      <w:r w:rsidRPr="00E3664D">
        <w:rPr>
          <w:rFonts w:ascii="仿宋_GB2312" w:eastAsia="仿宋_GB2312" w:hint="eastAsia"/>
          <w:sz w:val="32"/>
          <w:szCs w:val="32"/>
        </w:rPr>
        <w:t>全覆盖。共</w:t>
      </w:r>
      <w:r w:rsidRPr="00E3664D">
        <w:rPr>
          <w:rFonts w:ascii="仿宋_GB2312" w:eastAsia="仿宋_GB2312" w:hint="eastAsia"/>
          <w:sz w:val="32"/>
          <w:szCs w:val="32"/>
        </w:rPr>
        <w:t>196</w:t>
      </w:r>
      <w:r w:rsidRPr="00E3664D">
        <w:rPr>
          <w:rFonts w:ascii="仿宋_GB2312" w:eastAsia="仿宋_GB2312" w:hint="eastAsia"/>
          <w:sz w:val="32"/>
          <w:szCs w:val="32"/>
        </w:rPr>
        <w:t>万元全部用于养老机构项目建设，支出使用率</w:t>
      </w:r>
      <w:r w:rsidRPr="00E3664D">
        <w:rPr>
          <w:rFonts w:ascii="仿宋_GB2312" w:eastAsia="仿宋_GB2312" w:hint="eastAsia"/>
          <w:sz w:val="32"/>
          <w:szCs w:val="32"/>
        </w:rPr>
        <w:t>100</w:t>
      </w:r>
      <w:r w:rsidRPr="00E3664D">
        <w:rPr>
          <w:rFonts w:ascii="仿宋_GB2312" w:eastAsia="仿宋_GB2312" w:hint="eastAsia"/>
          <w:sz w:val="32"/>
          <w:szCs w:val="32"/>
        </w:rPr>
        <w:t>％。</w:t>
      </w:r>
    </w:p>
    <w:p w:rsidR="003B0E1C" w:rsidRDefault="00662D4E">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3B0E1C" w:rsidRDefault="00662D4E">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受益群众约</w:t>
      </w:r>
      <w:r>
        <w:rPr>
          <w:rFonts w:ascii="仿宋_GB2312" w:eastAsia="仿宋_GB2312" w:hint="eastAsia"/>
          <w:sz w:val="32"/>
          <w:szCs w:val="32"/>
        </w:rPr>
        <w:t>30000</w:t>
      </w:r>
      <w:r>
        <w:rPr>
          <w:rFonts w:ascii="仿宋_GB2312" w:eastAsia="仿宋_GB2312" w:hint="eastAsia"/>
          <w:sz w:val="32"/>
          <w:szCs w:val="32"/>
        </w:rPr>
        <w:t>人</w:t>
      </w:r>
      <w:r>
        <w:rPr>
          <w:rFonts w:ascii="仿宋_GB2312" w:eastAsia="仿宋_GB2312" w:hint="eastAsia"/>
          <w:sz w:val="32"/>
          <w:szCs w:val="32"/>
        </w:rPr>
        <w:t>，群众满意度</w:t>
      </w:r>
      <w:r>
        <w:rPr>
          <w:rFonts w:ascii="仿宋_GB2312" w:eastAsia="仿宋_GB2312" w:hint="eastAsia"/>
          <w:sz w:val="32"/>
          <w:szCs w:val="32"/>
        </w:rPr>
        <w:t>100</w:t>
      </w:r>
      <w:r>
        <w:rPr>
          <w:rFonts w:ascii="仿宋_GB2312" w:eastAsia="仿宋_GB2312" w:hint="eastAsia"/>
          <w:sz w:val="32"/>
          <w:szCs w:val="32"/>
        </w:rPr>
        <w:t>％。</w:t>
      </w:r>
    </w:p>
    <w:p w:rsidR="003B0E1C" w:rsidRDefault="00662D4E">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3B0E1C" w:rsidRDefault="00662D4E">
      <w:pPr>
        <w:spacing w:line="60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主要经验做法为：明确牵头科室，落实专人负责，对照文件要求逐项检查，做到主动及时查找，重点检查项目预算费用和实际使用费用情况。</w:t>
      </w:r>
    </w:p>
    <w:p w:rsidR="003B0E1C" w:rsidRDefault="00662D4E">
      <w:pPr>
        <w:numPr>
          <w:ilvl w:val="0"/>
          <w:numId w:val="4"/>
        </w:numPr>
        <w:spacing w:line="600" w:lineRule="exact"/>
        <w:ind w:firstLineChars="200" w:firstLine="640"/>
        <w:rPr>
          <w:rFonts w:eastAsia="黑体"/>
          <w:sz w:val="32"/>
          <w:szCs w:val="32"/>
        </w:rPr>
      </w:pPr>
      <w:r>
        <w:rPr>
          <w:rFonts w:eastAsia="黑体" w:hint="eastAsia"/>
          <w:sz w:val="32"/>
          <w:szCs w:val="32"/>
        </w:rPr>
        <w:t>有关建议</w:t>
      </w:r>
    </w:p>
    <w:p w:rsidR="003B0E1C" w:rsidRDefault="00662D4E">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3B0E1C" w:rsidRDefault="00662D4E">
      <w:pPr>
        <w:spacing w:line="600" w:lineRule="exact"/>
        <w:ind w:firstLineChars="200" w:firstLine="640"/>
        <w:rPr>
          <w:rFonts w:eastAsia="黑体"/>
          <w:sz w:val="32"/>
          <w:szCs w:val="32"/>
        </w:rPr>
      </w:pPr>
      <w:r>
        <w:rPr>
          <w:rFonts w:eastAsia="黑体" w:hint="eastAsia"/>
          <w:sz w:val="32"/>
          <w:szCs w:val="32"/>
        </w:rPr>
        <w:t>七、其他需要说明的问题</w:t>
      </w:r>
    </w:p>
    <w:p w:rsidR="003B0E1C" w:rsidRDefault="00662D4E">
      <w:pPr>
        <w:spacing w:line="600" w:lineRule="exact"/>
        <w:ind w:firstLineChars="200" w:firstLine="640"/>
        <w:rPr>
          <w:rFonts w:eastAsia="黑体"/>
          <w:sz w:val="32"/>
          <w:szCs w:val="32"/>
        </w:rPr>
      </w:pPr>
      <w:r>
        <w:rPr>
          <w:rFonts w:ascii="仿宋" w:eastAsia="仿宋" w:hAnsi="仿宋" w:hint="eastAsia"/>
          <w:sz w:val="32"/>
          <w:szCs w:val="32"/>
          <w:shd w:val="clear" w:color="auto" w:fill="FFFFFF"/>
        </w:rPr>
        <w:lastRenderedPageBreak/>
        <w:t>今后及时做好项目预算资金使用管理，提高负责管理人员工作业务水平，确保本项目预算任务评价工作水平提升。</w:t>
      </w:r>
    </w:p>
    <w:p w:rsidR="003B0E1C" w:rsidRDefault="003B0E1C"/>
    <w:p w:rsidR="003B0E1C" w:rsidRDefault="003B0E1C"/>
    <w:sectPr w:rsidR="003B0E1C" w:rsidSect="003B0E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D4E" w:rsidRDefault="00662D4E" w:rsidP="00E3664D">
      <w:r>
        <w:separator/>
      </w:r>
    </w:p>
  </w:endnote>
  <w:endnote w:type="continuationSeparator" w:id="1">
    <w:p w:rsidR="00662D4E" w:rsidRDefault="00662D4E" w:rsidP="00E366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D4E" w:rsidRDefault="00662D4E" w:rsidP="00E3664D">
      <w:r>
        <w:separator/>
      </w:r>
    </w:p>
  </w:footnote>
  <w:footnote w:type="continuationSeparator" w:id="1">
    <w:p w:rsidR="00662D4E" w:rsidRDefault="00662D4E" w:rsidP="00E36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458C23"/>
    <w:multiLevelType w:val="singleLevel"/>
    <w:tmpl w:val="E4458C23"/>
    <w:lvl w:ilvl="0">
      <w:start w:val="2"/>
      <w:numFmt w:val="chineseCounting"/>
      <w:suff w:val="nothing"/>
      <w:lvlText w:val="（%1）"/>
      <w:lvlJc w:val="left"/>
      <w:rPr>
        <w:rFonts w:hint="eastAsia"/>
      </w:rPr>
    </w:lvl>
  </w:abstractNum>
  <w:abstractNum w:abstractNumId="1">
    <w:nsid w:val="302DD7B1"/>
    <w:multiLevelType w:val="singleLevel"/>
    <w:tmpl w:val="302DD7B1"/>
    <w:lvl w:ilvl="0">
      <w:start w:val="2"/>
      <w:numFmt w:val="chineseCounting"/>
      <w:suff w:val="nothing"/>
      <w:lvlText w:val="（%1）"/>
      <w:lvlJc w:val="left"/>
      <w:rPr>
        <w:rFonts w:hint="eastAsia"/>
      </w:rPr>
    </w:lvl>
  </w:abstractNum>
  <w:abstractNum w:abstractNumId="2">
    <w:nsid w:val="550FDA10"/>
    <w:multiLevelType w:val="singleLevel"/>
    <w:tmpl w:val="550FDA10"/>
    <w:lvl w:ilvl="0">
      <w:start w:val="2"/>
      <w:numFmt w:val="chineseCounting"/>
      <w:suff w:val="nothing"/>
      <w:lvlText w:val="（%1）"/>
      <w:lvlJc w:val="left"/>
      <w:rPr>
        <w:rFonts w:hint="eastAsia"/>
      </w:rPr>
    </w:lvl>
  </w:abstractNum>
  <w:abstractNum w:abstractNumId="3">
    <w:nsid w:val="6BDCFDF5"/>
    <w:multiLevelType w:val="singleLevel"/>
    <w:tmpl w:val="6BDCFDF5"/>
    <w:lvl w:ilvl="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3B0E1C"/>
    <w:rsid w:val="003F6833"/>
    <w:rsid w:val="00662D4E"/>
    <w:rsid w:val="00984BAA"/>
    <w:rsid w:val="00DD32E2"/>
    <w:rsid w:val="00E3664D"/>
    <w:rsid w:val="08C2192C"/>
    <w:rsid w:val="5E4A341F"/>
    <w:rsid w:val="6BC16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E1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6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3664D"/>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E366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3664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282</Words>
  <Characters>1609</Characters>
  <Application>Microsoft Office Word</Application>
  <DocSecurity>0</DocSecurity>
  <Lines>13</Lines>
  <Paragraphs>3</Paragraphs>
  <ScaleCrop>false</ScaleCrop>
  <Company>China</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