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 xml:space="preserve">    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（一）项目概况。包括项目背景、主要内容及实施情况、资金投入和使用情况等。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（二）项目绩效目标。包括总体目标和阶段性目标。</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（项目目标、决策过程、决策依据、资金分配办法、资金分配结果）</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（资金到位率、财务管理、资金使用、组织机构、管理制度）</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r>
        <w:rPr>
          <w:rFonts w:hint="eastAsia" w:ascii="仿宋_GB2312" w:eastAsia="仿宋_GB2312"/>
          <w:sz w:val="32"/>
          <w:szCs w:val="32"/>
          <w:lang w:eastAsia="zh-CN"/>
        </w:rPr>
        <w:t>（产出数量、产出质量、产出时效、产出成本）</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（经济效益、社会效益、环境效益可持续影响、服务对象满意度）</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eastAsia="黑体"/>
          <w:sz w:val="32"/>
          <w:szCs w:val="32"/>
        </w:rPr>
        <w:t>六、有关建议</w:t>
      </w:r>
      <w:bookmarkStart w:id="0" w:name="_GoBack"/>
      <w:bookmarkEnd w:id="0"/>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5</TotalTime>
  <ScaleCrop>false</ScaleCrop>
  <LinksUpToDate>false</LinksUpToDate>
  <CharactersWithSpaces>826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2023-07-12T03:09:30Z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