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012" w:rsidRDefault="00A26012">
      <w:pPr>
        <w:widowControl/>
        <w:spacing w:line="600" w:lineRule="exact"/>
        <w:jc w:val="center"/>
        <w:rPr>
          <w:rFonts w:ascii="方正小标宋_GBK" w:eastAsia="方正小标宋_GBK" w:hAnsi="宋体" w:cs="宋体"/>
          <w:bCs/>
          <w:kern w:val="0"/>
          <w:sz w:val="44"/>
          <w:szCs w:val="44"/>
        </w:rPr>
      </w:pPr>
    </w:p>
    <w:p w:rsidR="00A26012" w:rsidRDefault="00B10E6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民政局</w:t>
      </w:r>
    </w:p>
    <w:p w:rsidR="00A26012" w:rsidRDefault="00B10E6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A26012" w:rsidRDefault="00CD09AF">
      <w:pPr>
        <w:spacing w:line="600" w:lineRule="exact"/>
        <w:rPr>
          <w:rFonts w:ascii="仿宋_GB2312" w:eastAsia="仿宋_GB2312"/>
          <w:sz w:val="32"/>
          <w:szCs w:val="32"/>
        </w:rPr>
      </w:pPr>
      <w:r>
        <w:rPr>
          <w:rFonts w:ascii="仿宋_GB2312" w:eastAsia="仿宋_GB2312" w:hint="eastAsia"/>
          <w:sz w:val="32"/>
          <w:szCs w:val="32"/>
        </w:rPr>
        <w:t xml:space="preserve">    </w:t>
      </w:r>
      <w:r w:rsidR="00B10E6A">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A26012" w:rsidRDefault="00B10E6A">
      <w:pPr>
        <w:spacing w:line="600" w:lineRule="exact"/>
        <w:ind w:firstLineChars="200" w:firstLine="640"/>
        <w:rPr>
          <w:rFonts w:eastAsia="黑体"/>
          <w:sz w:val="32"/>
          <w:szCs w:val="32"/>
        </w:rPr>
      </w:pPr>
      <w:r>
        <w:rPr>
          <w:rFonts w:eastAsia="黑体" w:hint="eastAsia"/>
          <w:sz w:val="32"/>
          <w:szCs w:val="32"/>
        </w:rPr>
        <w:t>一、基本情况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为进一步规范城乡居民最低生活保障（以下简称低保）、城乡特困供养、临时救助、流浪乞讨工作，根据《社会救助暂行办法》（国务院令第649号）、民政部关于印发《最低生活保障审核确认办法》的通知（民发〔2021〕57号）、民政部关于印发《特困人员认定办法》的通知（民发〔2021〕43号）、财政部 民政部关于印发《中央财政困难群众救助补助资金管理办法》的通知（财社〔2017〕58号）、财政部 民政部关于修改《中央财政困难群众救助补助资金管理办法》的通知（财社〔2022〕38号）、财政部 民政部印发《关于进一步加强困难群众救助资金监管工作的意见》（民发〔2022〕95号）和其他有关政策规定，结合我县实际认真开展困难群</w:t>
      </w:r>
      <w:r>
        <w:rPr>
          <w:rFonts w:ascii="仿宋_GB2312" w:eastAsia="仿宋_GB2312" w:hint="eastAsia"/>
          <w:sz w:val="32"/>
          <w:szCs w:val="32"/>
        </w:rPr>
        <w:lastRenderedPageBreak/>
        <w:t>众救助补助工作。</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1.严格按照财政部 民政部关于印发《中央财政困难群众救助补助资金管理办法》的通知（财社〔2017〕58号）、财政部 民政部关于修改《中央财政困难群众救助补助资金管理办法》的通知（财社〔2022〕38号）、财政部 民政部印发《关于进一步加强困难群众救助资金监管工作的意见》（民发〔2022〕95号）、《河北省社会救助实施办法》（政府令〔2015〕7号）要求，认真开展我县困难群众救助补助工作，核拨全县城乡居民最低生活保障金、城乡特困供养金、临时救助金、流浪乞讨人员救助金、孤儿和实事无人抚养儿童生活费。精准落实城乡困难群众救助政策。截至2023年底，全县有城市低保对象为265户，376人，累计发放城市低保保障金290.87万元，农村低保对象为5059户，6937人，累计发放农村低保保障金4350.05万元。全县共有3946人享受农村特困供养待遇，其中3550人农村分散供养待遇，396人享受农村集中供养待遇。累计发放保障金3904.64万元。有15人享受城市特困供养待遇，其中11人享受城市分散供养待遇，4人享受城市集中供养待遇。累计发放保障金19.968万元。进一步加强孤儿和事实无人抚养儿童保障工作。截至2023年底，全县有113名困境儿童纳入孤儿和事实无人抚养儿童保障范围。强化对生活无着流浪乞讨人员的救助服务，维护受助人员合法权益。截至2023年底，全年累计共救助20名生活无着流浪乞讨人员。落实困难残疾人生活补贴和重</w:t>
      </w:r>
      <w:r>
        <w:rPr>
          <w:rFonts w:ascii="仿宋_GB2312" w:eastAsia="仿宋_GB2312" w:hint="eastAsia"/>
          <w:sz w:val="32"/>
          <w:szCs w:val="32"/>
        </w:rPr>
        <w:lastRenderedPageBreak/>
        <w:t>度残疾人护理补贴制度，截至2023年底，全县共有3415人符合领取困难残疾人生活补贴待遇，按照每人每月86元的标准，累计共发放332.8204万元；8916人符合领取重度残疾人护理补贴待遇，按照每人每月80元的标准，累计共发放814.802万元。提高临时救助投入水平，对有严重困难的家庭和个人给予应急性、过渡性救助。截至2023年底，综合运用临时救助政策，全年累计救助288人次。</w:t>
      </w:r>
    </w:p>
    <w:p w:rsidR="00A26012" w:rsidRDefault="00B10E6A">
      <w:pPr>
        <w:spacing w:line="5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适时提高孤儿生活保障水平，孤儿生活保障政策规范高效实施；使孤儿和事实无人抚养儿童基本生活得到保障。</w:t>
      </w:r>
    </w:p>
    <w:p w:rsidR="00A26012" w:rsidRDefault="00B10E6A">
      <w:pPr>
        <w:spacing w:line="600" w:lineRule="exact"/>
        <w:ind w:firstLineChars="200" w:firstLine="640"/>
        <w:rPr>
          <w:rFonts w:eastAsia="黑体"/>
          <w:sz w:val="32"/>
          <w:szCs w:val="32"/>
        </w:rPr>
      </w:pPr>
      <w:r>
        <w:rPr>
          <w:rFonts w:eastAsia="黑体" w:hint="eastAsia"/>
          <w:sz w:val="32"/>
          <w:szCs w:val="32"/>
        </w:rPr>
        <w:t>二、绩效评价工作开展情况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D09AF">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）绩效评价目的</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（1）通过绩效评价，形成真实完整、数据准确、分析透彻、逻辑清晰、客观公正的绩效评价结论，为后期强化预算绩效管理提供重要依据。</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（2）通过对项目绩效评价，提升项目实施水平，确保资金安全与高效使用。</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（3）通过对预算资金的产出和结果进行评价，发现预算执行、资金使用管理中存在的问题，优化资金资源，提高资金使用效率，为下一年度预算安排提供参考依据。</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D09AF">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（1）科学规范原则：按照科学可行的要求，严格执行规定的评价程序，采用定量与定性分析相结合的方法；</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（2）公正公开原则：以事实为依据，以规范为准绳，</w:t>
      </w:r>
      <w:r>
        <w:rPr>
          <w:rFonts w:ascii="仿宋_GB2312" w:eastAsia="仿宋_GB2312" w:hAnsi="仿宋_GB2312" w:cs="仿宋_GB2312" w:hint="eastAsia"/>
          <w:sz w:val="32"/>
          <w:szCs w:val="32"/>
        </w:rPr>
        <w:lastRenderedPageBreak/>
        <w:t>真实、客观、公正评价项目绩效；</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（3）绩效相关原则：围绕资金支出与服务对象满意度进行评价，反映支出和满意度之间的绩效对应关系。</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D09AF">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D09AF">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）绩效评价方法</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2011〕285号）文件确定的绩效评价方法，从本项目实际情况出发，采用以下方法。同时在运用具体评价方法时，采用定量与定性相结合的技术进行综合评价。</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（1）因素分析法：通过综合分析影响绩效目标实现、实施效果的内外因素，评价绩效目标的实现程度；</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（2）项目效益分析法：通过项目支出与项目效益进行对比分析，评价绩效目标的实现程度;</w:t>
      </w:r>
    </w:p>
    <w:p w:rsidR="00A26012" w:rsidRDefault="00B10E6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（3）公众评价法：通过问卷调查对项目支出效果进行评价目标的实现程度。</w:t>
      </w:r>
    </w:p>
    <w:p w:rsidR="00A26012" w:rsidRDefault="00B10E6A">
      <w:pPr>
        <w:spacing w:line="600" w:lineRule="exact"/>
        <w:ind w:firstLineChars="200" w:firstLine="640"/>
        <w:rPr>
          <w:rFonts w:eastAsia="黑体"/>
          <w:sz w:val="32"/>
          <w:szCs w:val="32"/>
        </w:rPr>
      </w:pPr>
      <w:r>
        <w:rPr>
          <w:rFonts w:eastAsia="黑体" w:hint="eastAsia"/>
          <w:sz w:val="32"/>
          <w:szCs w:val="32"/>
        </w:rPr>
        <w:lastRenderedPageBreak/>
        <w:t>三、综合评价情况及评价结论</w:t>
      </w:r>
    </w:p>
    <w:p w:rsidR="00A26012" w:rsidRDefault="00B10E6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A26012" w:rsidRDefault="00B10E6A">
      <w:pPr>
        <w:spacing w:line="600" w:lineRule="exact"/>
        <w:ind w:firstLineChars="200" w:firstLine="640"/>
        <w:rPr>
          <w:rFonts w:eastAsia="黑体"/>
          <w:sz w:val="32"/>
          <w:szCs w:val="32"/>
        </w:rPr>
      </w:pPr>
      <w:r>
        <w:rPr>
          <w:rFonts w:eastAsia="黑体" w:hint="eastAsia"/>
          <w:sz w:val="32"/>
          <w:szCs w:val="32"/>
        </w:rPr>
        <w:t>四、绩效评价指标分析</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（一）项目决策情况。</w:t>
      </w:r>
    </w:p>
    <w:p w:rsidR="00A26012" w:rsidRDefault="00B10E6A">
      <w:pPr>
        <w:spacing w:line="600" w:lineRule="exact"/>
        <w:ind w:firstLineChars="200" w:firstLine="640"/>
        <w:rPr>
          <w:rFonts w:ascii="仿宋_GB2312" w:eastAsia="仿宋_GB2312"/>
          <w:sz w:val="32"/>
          <w:szCs w:val="32"/>
        </w:rPr>
      </w:pPr>
      <w:r>
        <w:rPr>
          <w:rFonts w:ascii="仿宋_GB2312" w:eastAsia="仿宋_GB2312" w:hint="eastAsia"/>
          <w:sz w:val="32"/>
          <w:szCs w:val="32"/>
        </w:rPr>
        <w:t>按照财政部 民政部关于印发《中央财政困难群众救助补助资金管理办法》的通知（财社〔2017〕58号）、财政部 民政部关于修改《中央财政困难群众救助补助资金管理办法》的通知（财社〔2022〕38号）、财政部 民政部印发《关于进一步加强困难群众救助资金监管工作的意见》（民发〔2022〕95号）、《河北省社会救助实施办法》（政府令〔2015〕7号）要求，认真开展我县困难群众救助补助工作，核拨全县城乡居民最低生活保障金、城乡特困供养金、临时救助金、流浪乞讨人员救助金、孤儿和实事无人抚养儿童生活费。精准落实城乡困难群众救助政策。截至2023年底，全县有城市低保对象为265户，376人，累计发放城市低保保障金290.87万元，农村低保对象为5059户，6937人，累计发放农村低保保障金4350.05万元。全县共有3946人享受农村特困供养待遇，其中3550人农村分散供养待遇，396人享受农村集中供养待遇。累计发放保障金3904.64万元。有15人享受城市特困供养待遇，其中11人享受城市分散供养待遇，4人享受城市集中供养待遇。累计发放保障金19.968万元。进一步加强孤儿和事实无人抚养儿童保障工作。截至2023年</w:t>
      </w:r>
      <w:r>
        <w:rPr>
          <w:rFonts w:ascii="仿宋_GB2312" w:eastAsia="仿宋_GB2312" w:hint="eastAsia"/>
          <w:sz w:val="32"/>
          <w:szCs w:val="32"/>
        </w:rPr>
        <w:lastRenderedPageBreak/>
        <w:t>底，全县有113名困境儿童纳入孤儿和事实无人抚养儿童保障范围。强化对生活无着流浪乞讨人员的救助服务，维护受助人员合法权益。截至2023年底，全年累计共救助20名生活无着流浪乞讨人员。落实困难残疾人生活补贴和重度残疾人护理补贴制度，截至2023年底，全县共有3415人符合领取困难残疾人生活补贴待遇，按照每人每月86元的标准，累计共发放332.8204万元；8916人符合领取重度残疾人护理补贴待遇，按照每人每月80元的标准，累计共发放814.802万元。提高临时救助投入水平，对有严重困难的家庭和个人给予应急性、过渡性救助。截至2023年底，综合运用临时救助政策，全年累计救助288人次。每项救助金按时发放到位。</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财务制度健全，项目资金使用符合相关的财务管理制度规定。项目计划工作目标的全年实际执行数占全年项目预算数的比率合理，资金使用按规定用途，已发生的项目支出都是用于该项目，符合合规资金认定。</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2023年全县有城市低保对象为265户，376人，农村低保对象为5059户，6937人；全县共有3946人享受农村特困供养待遇，其中3550人农村分散供养待遇，396人享受农村集中供养待遇；有15人享受城市特困供养待遇，其中11人享受城市分散供养待遇，4人享受城市集中供</w:t>
      </w:r>
      <w:r>
        <w:rPr>
          <w:rFonts w:ascii="仿宋_GB2312" w:eastAsia="仿宋_GB2312" w:hint="eastAsia"/>
          <w:sz w:val="32"/>
          <w:szCs w:val="32"/>
        </w:rPr>
        <w:lastRenderedPageBreak/>
        <w:t>养待遇；全县有113名困境儿童纳入孤儿和事实无人抚养儿童保障范围；截至2023年底，全年累计共救助20名生活无着流浪乞讨人员；落实困难残疾人生活补贴和重度残疾人护理补贴制度，截至2023年底，全县共有3415人符合领取困难残疾人生活补贴待遇，8916人符合领取重度残疾人护理补贴待遇；提高临时救助投入水平，对有严重困难的家庭和个人给予应急性、过渡性救助。截至2023年底，综合运用临时救助政策，全年累计救助288人次。产出时效情况：及时发放各类救助金；产出成本情况：2023年全年累计发放低保金的金额4640.92万元；累计发放特困金的金额3924.6万元；累计发放残疾人两项补贴金1147.62万元；产出质量情况：各类救助金支出合规。</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rsidR="00A26012" w:rsidRDefault="00B10E6A">
      <w:pPr>
        <w:spacing w:line="600" w:lineRule="exact"/>
        <w:ind w:firstLineChars="200" w:firstLine="640"/>
        <w:outlineLvl w:val="0"/>
        <w:rPr>
          <w:rFonts w:ascii="仿宋_GB2312" w:eastAsia="仿宋_GB2312"/>
          <w:sz w:val="32"/>
          <w:szCs w:val="32"/>
        </w:rPr>
      </w:pPr>
      <w:r>
        <w:rPr>
          <w:rFonts w:ascii="仿宋_GB2312" w:eastAsia="仿宋_GB2312" w:hAnsi="仿宋_GB2312" w:cs="仿宋_GB2312" w:hint="eastAsia"/>
          <w:sz w:val="32"/>
          <w:szCs w:val="32"/>
        </w:rPr>
        <w:t>社会效益方面，保障了困难群众的基本生活，让他们感受到党和政府的关怀，社会主义大家庭的温暖。</w:t>
      </w:r>
      <w:r>
        <w:rPr>
          <w:rFonts w:ascii="仿宋_GB2312" w:eastAsia="仿宋_GB2312" w:hAnsi="仿宋_GB2312" w:cs="仿宋_GB2312" w:hint="eastAsia"/>
          <w:color w:val="3D3D3D"/>
          <w:sz w:val="32"/>
          <w:szCs w:val="32"/>
          <w:shd w:val="clear" w:color="auto" w:fill="FFFFFF"/>
        </w:rPr>
        <w:t>可持续影响方面，补助补贴政策为救助人群提供了稳定的生活保障</w:t>
      </w:r>
      <w:bookmarkStart w:id="0" w:name="_GoBack"/>
      <w:bookmarkEnd w:id="0"/>
      <w:r>
        <w:rPr>
          <w:rFonts w:ascii="仿宋_GB2312" w:eastAsia="仿宋_GB2312" w:hAnsi="仿宋_GB2312" w:cs="仿宋_GB2312" w:hint="eastAsia"/>
          <w:sz w:val="32"/>
          <w:szCs w:val="32"/>
        </w:rPr>
        <w:t>。满意度方面，救助对象对社会救助实施的满意度达95%。</w:t>
      </w:r>
    </w:p>
    <w:p w:rsidR="00A26012" w:rsidRDefault="00B10E6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A26012" w:rsidRDefault="00B10E6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A26012" w:rsidRDefault="00B10E6A">
      <w:pPr>
        <w:spacing w:line="600" w:lineRule="exact"/>
        <w:ind w:firstLineChars="200" w:firstLine="640"/>
        <w:rPr>
          <w:rFonts w:eastAsia="黑体"/>
          <w:sz w:val="32"/>
          <w:szCs w:val="32"/>
        </w:rPr>
      </w:pPr>
      <w:r>
        <w:rPr>
          <w:rFonts w:eastAsia="黑体" w:hint="eastAsia"/>
          <w:sz w:val="32"/>
          <w:szCs w:val="32"/>
        </w:rPr>
        <w:t>六、有关建议</w:t>
      </w:r>
    </w:p>
    <w:p w:rsidR="00A26012" w:rsidRDefault="00B10E6A">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A26012" w:rsidRDefault="00B10E6A">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A26012" w:rsidRDefault="00B10E6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A26012" w:rsidRDefault="00A26012"/>
    <w:p w:rsidR="00A26012" w:rsidRDefault="00A26012"/>
    <w:sectPr w:rsidR="00A26012" w:rsidSect="00A260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A99" w:rsidRDefault="00281A99" w:rsidP="00CD09AF">
      <w:r>
        <w:separator/>
      </w:r>
    </w:p>
  </w:endnote>
  <w:endnote w:type="continuationSeparator" w:id="1">
    <w:p w:rsidR="00281A99" w:rsidRDefault="00281A99" w:rsidP="00CD09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A99" w:rsidRDefault="00281A99" w:rsidP="00CD09AF">
      <w:r>
        <w:separator/>
      </w:r>
    </w:p>
  </w:footnote>
  <w:footnote w:type="continuationSeparator" w:id="1">
    <w:p w:rsidR="00281A99" w:rsidRDefault="00281A99" w:rsidP="00CD09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0613F3"/>
    <w:rsid w:val="00137150"/>
    <w:rsid w:val="001D38BF"/>
    <w:rsid w:val="00200B7A"/>
    <w:rsid w:val="00281A99"/>
    <w:rsid w:val="003F6833"/>
    <w:rsid w:val="00984BAA"/>
    <w:rsid w:val="00A26012"/>
    <w:rsid w:val="00B10E6A"/>
    <w:rsid w:val="00CD09AF"/>
    <w:rsid w:val="00DD32E2"/>
    <w:rsid w:val="175462A8"/>
    <w:rsid w:val="27043240"/>
    <w:rsid w:val="52B5367D"/>
    <w:rsid w:val="536F2893"/>
    <w:rsid w:val="58BB0DB5"/>
    <w:rsid w:val="5CE265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26012"/>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A26012"/>
    <w:rPr>
      <w:rFonts w:ascii="宋体" w:hAnsi="Courier New"/>
    </w:rPr>
  </w:style>
  <w:style w:type="paragraph" w:styleId="a4">
    <w:name w:val="header"/>
    <w:basedOn w:val="a"/>
    <w:link w:val="Char"/>
    <w:uiPriority w:val="99"/>
    <w:semiHidden/>
    <w:unhideWhenUsed/>
    <w:rsid w:val="00CD0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CD09AF"/>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CD09AF"/>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CD09A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638</Words>
  <Characters>3639</Characters>
  <Application>Microsoft Office Word</Application>
  <DocSecurity>0</DocSecurity>
  <Lines>30</Lines>
  <Paragraphs>8</Paragraphs>
  <ScaleCrop>false</ScaleCrop>
  <Company>China</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2024-04-24T01:46:00Z</cp:lastPrinted>
  <dcterms:created xsi:type="dcterms:W3CDTF">2024-04-18T01:20:00Z</dcterms:created>
  <dcterms:modified xsi:type="dcterms:W3CDTF">2024-04-24T01:46:00Z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