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E24" w:rsidRDefault="00BE2E24">
      <w:pPr>
        <w:widowControl/>
        <w:spacing w:line="600" w:lineRule="exact"/>
        <w:jc w:val="center"/>
        <w:rPr>
          <w:rFonts w:ascii="方正小标宋_GBK" w:eastAsia="方正小标宋_GBK" w:hAnsi="宋体" w:cs="宋体"/>
          <w:bCs/>
          <w:kern w:val="0"/>
          <w:sz w:val="44"/>
          <w:szCs w:val="44"/>
        </w:rPr>
      </w:pPr>
    </w:p>
    <w:p w:rsidR="00BE2E24" w:rsidRDefault="00126B7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rPr>
        <w:t>民政</w:t>
      </w:r>
      <w:r>
        <w:rPr>
          <w:rFonts w:ascii="方正小标宋_GBK" w:eastAsia="方正小标宋_GBK" w:hAnsi="宋体" w:cs="宋体" w:hint="eastAsia"/>
          <w:bCs/>
          <w:kern w:val="0"/>
          <w:sz w:val="44"/>
          <w:szCs w:val="44"/>
        </w:rPr>
        <w:t>局</w:t>
      </w:r>
    </w:p>
    <w:p w:rsidR="00BE2E24" w:rsidRDefault="00126B78">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BE2E24" w:rsidRDefault="00540D25">
      <w:pPr>
        <w:spacing w:line="600" w:lineRule="exact"/>
        <w:rPr>
          <w:rFonts w:ascii="仿宋_GB2312" w:eastAsia="仿宋_GB2312"/>
          <w:sz w:val="32"/>
          <w:szCs w:val="32"/>
        </w:rPr>
      </w:pPr>
      <w:r>
        <w:rPr>
          <w:rFonts w:ascii="仿宋_GB2312" w:eastAsia="仿宋_GB2312" w:hint="eastAsia"/>
          <w:sz w:val="32"/>
          <w:szCs w:val="32"/>
        </w:rPr>
        <w:t xml:space="preserve">    </w:t>
      </w:r>
      <w:r w:rsidR="00126B78">
        <w:rPr>
          <w:rFonts w:ascii="仿宋_GB2312" w:eastAsia="仿宋_GB2312" w:hint="eastAsia"/>
          <w:sz w:val="32"/>
          <w:szCs w:val="32"/>
        </w:rPr>
        <w:t>根据《中共玉田县委玉田县人民政府关于全面实施预算绩效管理的实施意见》（玉发【</w:t>
      </w:r>
      <w:r w:rsidR="00126B78">
        <w:rPr>
          <w:rFonts w:ascii="仿宋_GB2312" w:eastAsia="仿宋_GB2312" w:hint="eastAsia"/>
          <w:sz w:val="32"/>
          <w:szCs w:val="32"/>
        </w:rPr>
        <w:t>2019</w:t>
      </w:r>
      <w:r w:rsidR="00126B78">
        <w:rPr>
          <w:rFonts w:ascii="仿宋_GB2312" w:eastAsia="仿宋_GB2312" w:hint="eastAsia"/>
          <w:sz w:val="32"/>
          <w:szCs w:val="32"/>
        </w:rPr>
        <w:t>】</w:t>
      </w:r>
      <w:r w:rsidR="00126B78">
        <w:rPr>
          <w:rFonts w:ascii="仿宋_GB2312" w:eastAsia="仿宋_GB2312" w:hint="eastAsia"/>
          <w:sz w:val="32"/>
          <w:szCs w:val="32"/>
        </w:rPr>
        <w:t>7</w:t>
      </w:r>
      <w:r w:rsidR="00126B78">
        <w:rPr>
          <w:rFonts w:ascii="仿宋_GB2312" w:eastAsia="仿宋_GB2312" w:hint="eastAsia"/>
          <w:sz w:val="32"/>
          <w:szCs w:val="32"/>
        </w:rPr>
        <w:t>号）文件要求，结合财政部关于印发《项目支出绩效评价管理办法》（财预【</w:t>
      </w:r>
      <w:r w:rsidR="00126B78">
        <w:rPr>
          <w:rFonts w:ascii="仿宋_GB2312" w:eastAsia="仿宋_GB2312" w:hint="eastAsia"/>
          <w:sz w:val="32"/>
          <w:szCs w:val="32"/>
        </w:rPr>
        <w:t>2020</w:t>
      </w:r>
      <w:r w:rsidR="00126B78">
        <w:rPr>
          <w:rFonts w:ascii="仿宋_GB2312" w:eastAsia="仿宋_GB2312" w:hint="eastAsia"/>
          <w:sz w:val="32"/>
          <w:szCs w:val="32"/>
        </w:rPr>
        <w:t>】</w:t>
      </w:r>
      <w:r w:rsidR="00126B78">
        <w:rPr>
          <w:rFonts w:ascii="仿宋_GB2312" w:eastAsia="仿宋_GB2312" w:hint="eastAsia"/>
          <w:sz w:val="32"/>
          <w:szCs w:val="32"/>
        </w:rPr>
        <w:t>10</w:t>
      </w:r>
      <w:r w:rsidR="00126B78">
        <w:rPr>
          <w:rFonts w:ascii="仿宋_GB2312" w:eastAsia="仿宋_GB2312" w:hint="eastAsia"/>
          <w:sz w:val="32"/>
          <w:szCs w:val="32"/>
        </w:rPr>
        <w:t>号）及《省级预算项目绩效自评工作的通知》为进一步规范财政资金管理，强化部门支出责任，提高财政资金使用效益，对我部门</w:t>
      </w:r>
      <w:r w:rsidR="00126B78">
        <w:rPr>
          <w:rFonts w:ascii="仿宋_GB2312" w:eastAsia="仿宋_GB2312" w:hint="eastAsia"/>
          <w:sz w:val="32"/>
          <w:szCs w:val="32"/>
        </w:rPr>
        <w:t>2023</w:t>
      </w:r>
      <w:r w:rsidR="00126B78">
        <w:rPr>
          <w:rFonts w:ascii="仿宋_GB2312" w:eastAsia="仿宋_GB2312" w:hint="eastAsia"/>
          <w:sz w:val="32"/>
          <w:szCs w:val="32"/>
        </w:rPr>
        <w:t>年项目支出进行了绩效评价。现将有关情况报告如下：</w:t>
      </w:r>
    </w:p>
    <w:p w:rsidR="00BE2E24" w:rsidRDefault="00126B78">
      <w:pPr>
        <w:spacing w:line="600" w:lineRule="exact"/>
        <w:ind w:firstLineChars="200" w:firstLine="640"/>
        <w:rPr>
          <w:rFonts w:eastAsia="黑体"/>
          <w:sz w:val="32"/>
          <w:szCs w:val="32"/>
        </w:rPr>
      </w:pPr>
      <w:r>
        <w:rPr>
          <w:rFonts w:eastAsia="黑体" w:hint="eastAsia"/>
          <w:sz w:val="32"/>
          <w:szCs w:val="32"/>
        </w:rPr>
        <w:t>一、基本情况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年我县</w:t>
      </w:r>
      <w:r>
        <w:rPr>
          <w:rFonts w:ascii="仿宋_GB2312" w:eastAsia="仿宋_GB2312" w:hint="eastAsia"/>
          <w:sz w:val="32"/>
          <w:szCs w:val="32"/>
        </w:rPr>
        <w:t>80</w:t>
      </w:r>
      <w:r>
        <w:rPr>
          <w:rFonts w:ascii="仿宋_GB2312" w:eastAsia="仿宋_GB2312" w:hint="eastAsia"/>
          <w:sz w:val="32"/>
          <w:szCs w:val="32"/>
        </w:rPr>
        <w:t>周岁及以上老年人约</w:t>
      </w:r>
      <w:r>
        <w:rPr>
          <w:rFonts w:ascii="仿宋_GB2312" w:eastAsia="仿宋_GB2312" w:hint="eastAsia"/>
          <w:sz w:val="32"/>
          <w:szCs w:val="32"/>
        </w:rPr>
        <w:t>1.86</w:t>
      </w:r>
      <w:r>
        <w:rPr>
          <w:rFonts w:ascii="仿宋_GB2312" w:eastAsia="仿宋_GB2312" w:hint="eastAsia"/>
          <w:sz w:val="32"/>
          <w:szCs w:val="32"/>
        </w:rPr>
        <w:t>万人，</w:t>
      </w:r>
      <w:r>
        <w:rPr>
          <w:rFonts w:ascii="仿宋_GB2312" w:eastAsia="仿宋_GB2312" w:hint="eastAsia"/>
          <w:sz w:val="32"/>
          <w:szCs w:val="32"/>
        </w:rPr>
        <w:t>为充分发扬尊老敬老的优良传统，进一步完善覆盖城乡的老年人社会保障体系，使老年人共享经济社会发展成果，根据《中华人民共和国老年人权益保障法》和《河北省老年人优待办法》，结合我县实际，制定城乡高龄老人生活补贴制</w:t>
      </w:r>
      <w:r>
        <w:rPr>
          <w:rFonts w:ascii="仿宋_GB2312" w:eastAsia="仿宋_GB2312" w:hint="eastAsia"/>
          <w:sz w:val="32"/>
          <w:szCs w:val="32"/>
        </w:rPr>
        <w:t>,</w:t>
      </w:r>
      <w:r>
        <w:rPr>
          <w:rFonts w:ascii="仿宋_GB2312" w:eastAsia="仿宋_GB2312" w:hint="eastAsia"/>
          <w:sz w:val="32"/>
          <w:szCs w:val="32"/>
        </w:rPr>
        <w:t>设立</w:t>
      </w:r>
      <w:r>
        <w:rPr>
          <w:rFonts w:ascii="仿宋_GB2312" w:eastAsia="仿宋_GB2312" w:hint="eastAsia"/>
          <w:sz w:val="32"/>
          <w:szCs w:val="32"/>
        </w:rPr>
        <w:t>1229</w:t>
      </w:r>
      <w:r>
        <w:rPr>
          <w:rFonts w:ascii="仿宋_GB2312" w:eastAsia="仿宋_GB2312" w:hint="eastAsia"/>
          <w:sz w:val="32"/>
          <w:szCs w:val="32"/>
        </w:rPr>
        <w:t>万元城乡高龄老人生活补贴专项资金，用于进一步提高老年人生活水平。</w:t>
      </w:r>
    </w:p>
    <w:p w:rsidR="00BE2E24" w:rsidRDefault="00126B78">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项目绩效目标。</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以科学发展观和党的十九大精神为指导，努力完善养老保障体系建设，着力解决高龄老人基本生活问题。按照从实际出发、实行属地管理以及公开、公平、公正的原则，推动</w:t>
      </w:r>
      <w:r>
        <w:rPr>
          <w:rFonts w:ascii="仿宋_GB2312" w:eastAsia="仿宋_GB2312" w:hint="eastAsia"/>
          <w:sz w:val="32"/>
          <w:szCs w:val="32"/>
        </w:rPr>
        <w:lastRenderedPageBreak/>
        <w:t>城乡高龄老人生活补贴发放工作，切实使高龄老人的生活质量得到</w:t>
      </w:r>
      <w:r>
        <w:rPr>
          <w:rFonts w:ascii="仿宋_GB2312" w:eastAsia="仿宋_GB2312" w:hint="eastAsia"/>
          <w:sz w:val="32"/>
          <w:szCs w:val="32"/>
        </w:rPr>
        <w:t>整体提高。</w:t>
      </w:r>
      <w:r>
        <w:rPr>
          <w:rFonts w:ascii="仿宋_GB2312" w:eastAsia="仿宋_GB2312" w:hint="eastAsia"/>
          <w:sz w:val="32"/>
          <w:szCs w:val="32"/>
        </w:rPr>
        <w:t>2023</w:t>
      </w:r>
      <w:r>
        <w:rPr>
          <w:rFonts w:ascii="仿宋_GB2312" w:eastAsia="仿宋_GB2312" w:hint="eastAsia"/>
          <w:sz w:val="32"/>
          <w:szCs w:val="32"/>
        </w:rPr>
        <w:t>年，共发放资金</w:t>
      </w:r>
      <w:r>
        <w:rPr>
          <w:rFonts w:ascii="仿宋_GB2312" w:eastAsia="仿宋_GB2312" w:hint="eastAsia"/>
          <w:sz w:val="32"/>
          <w:szCs w:val="32"/>
        </w:rPr>
        <w:t>1134.07</w:t>
      </w:r>
      <w:r>
        <w:rPr>
          <w:rFonts w:ascii="仿宋_GB2312" w:eastAsia="仿宋_GB2312" w:hint="eastAsia"/>
          <w:sz w:val="32"/>
          <w:szCs w:val="32"/>
        </w:rPr>
        <w:t>万元，发放总人数约为</w:t>
      </w:r>
      <w:r>
        <w:rPr>
          <w:rFonts w:ascii="仿宋_GB2312" w:eastAsia="仿宋_GB2312" w:hint="eastAsia"/>
          <w:sz w:val="32"/>
          <w:szCs w:val="32"/>
        </w:rPr>
        <w:t>19.9</w:t>
      </w:r>
      <w:r>
        <w:rPr>
          <w:rFonts w:ascii="仿宋_GB2312" w:eastAsia="仿宋_GB2312" w:hint="eastAsia"/>
          <w:sz w:val="32"/>
          <w:szCs w:val="32"/>
        </w:rPr>
        <w:t>万人。</w:t>
      </w:r>
    </w:p>
    <w:p w:rsidR="00BE2E24" w:rsidRDefault="00126B78">
      <w:pPr>
        <w:spacing w:line="600" w:lineRule="exact"/>
        <w:ind w:firstLineChars="200" w:firstLine="640"/>
        <w:rPr>
          <w:rFonts w:eastAsia="黑体"/>
          <w:sz w:val="32"/>
          <w:szCs w:val="32"/>
        </w:rPr>
      </w:pPr>
      <w:r>
        <w:rPr>
          <w:rFonts w:eastAsia="黑体" w:hint="eastAsia"/>
          <w:sz w:val="32"/>
          <w:szCs w:val="32"/>
        </w:rPr>
        <w:t>二、绩效评价工作开展情况</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BE2E24" w:rsidRDefault="00126B78">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绩效评价目的、对象和范围。</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为</w:t>
      </w:r>
      <w:r>
        <w:rPr>
          <w:rFonts w:ascii="仿宋_GB2312" w:eastAsia="仿宋_GB2312" w:hint="eastAsia"/>
          <w:sz w:val="32"/>
          <w:szCs w:val="32"/>
        </w:rPr>
        <w:t>努力完善养老保障体系建设，着力解决高龄老人基本生活问题。</w:t>
      </w:r>
      <w:r>
        <w:rPr>
          <w:rFonts w:ascii="仿宋_GB2312" w:eastAsia="仿宋_GB2312" w:hint="eastAsia"/>
          <w:sz w:val="32"/>
          <w:szCs w:val="32"/>
        </w:rPr>
        <w:t>本科室为户籍户口在我县且长期居住的</w:t>
      </w:r>
      <w:r>
        <w:rPr>
          <w:rFonts w:ascii="仿宋_GB2312" w:eastAsia="仿宋_GB2312" w:hint="eastAsia"/>
          <w:sz w:val="32"/>
          <w:szCs w:val="32"/>
        </w:rPr>
        <w:t>80</w:t>
      </w:r>
      <w:r>
        <w:rPr>
          <w:rFonts w:ascii="仿宋_GB2312" w:eastAsia="仿宋_GB2312" w:hint="eastAsia"/>
          <w:sz w:val="32"/>
          <w:szCs w:val="32"/>
        </w:rPr>
        <w:t>周岁</w:t>
      </w:r>
      <w:r>
        <w:rPr>
          <w:rFonts w:ascii="仿宋_GB2312" w:eastAsia="仿宋_GB2312" w:hint="eastAsia"/>
          <w:sz w:val="32"/>
          <w:szCs w:val="32"/>
        </w:rPr>
        <w:lastRenderedPageBreak/>
        <w:t>以上所有高龄老人（年龄按照对年不对月计算）发放城乡高龄老人生活补贴。</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周岁至</w:t>
      </w:r>
      <w:r>
        <w:rPr>
          <w:rFonts w:ascii="仿宋_GB2312" w:eastAsia="仿宋_GB2312" w:hint="eastAsia"/>
          <w:sz w:val="32"/>
          <w:szCs w:val="32"/>
        </w:rPr>
        <w:t>89</w:t>
      </w:r>
      <w:r>
        <w:rPr>
          <w:rFonts w:ascii="仿宋_GB2312" w:eastAsia="仿宋_GB2312" w:hint="eastAsia"/>
          <w:sz w:val="32"/>
          <w:szCs w:val="32"/>
        </w:rPr>
        <w:t>周岁的老人每人每年</w:t>
      </w:r>
      <w:r>
        <w:rPr>
          <w:rFonts w:ascii="仿宋_GB2312" w:eastAsia="仿宋_GB2312" w:hint="eastAsia"/>
          <w:sz w:val="32"/>
          <w:szCs w:val="32"/>
        </w:rPr>
        <w:t>600</w:t>
      </w:r>
      <w:r>
        <w:rPr>
          <w:rFonts w:ascii="仿宋_GB2312" w:eastAsia="仿宋_GB2312" w:hint="eastAsia"/>
          <w:sz w:val="32"/>
          <w:szCs w:val="32"/>
        </w:rPr>
        <w:t>元，每月发放</w:t>
      </w:r>
      <w:r>
        <w:rPr>
          <w:rFonts w:ascii="仿宋_GB2312" w:eastAsia="仿宋_GB2312" w:hint="eastAsia"/>
          <w:sz w:val="32"/>
          <w:szCs w:val="32"/>
        </w:rPr>
        <w:t>50</w:t>
      </w:r>
      <w:r>
        <w:rPr>
          <w:rFonts w:ascii="仿宋_GB2312" w:eastAsia="仿宋_GB2312" w:hint="eastAsia"/>
          <w:sz w:val="32"/>
          <w:szCs w:val="32"/>
        </w:rPr>
        <w:t>元；</w:t>
      </w:r>
      <w:r>
        <w:rPr>
          <w:rFonts w:ascii="仿宋_GB2312" w:eastAsia="仿宋_GB2312" w:hint="eastAsia"/>
          <w:sz w:val="32"/>
          <w:szCs w:val="32"/>
        </w:rPr>
        <w:t>90</w:t>
      </w:r>
      <w:r>
        <w:rPr>
          <w:rFonts w:ascii="仿宋_GB2312" w:eastAsia="仿宋_GB2312" w:hint="eastAsia"/>
          <w:sz w:val="32"/>
          <w:szCs w:val="32"/>
        </w:rPr>
        <w:t>周岁至</w:t>
      </w:r>
      <w:r>
        <w:rPr>
          <w:rFonts w:ascii="仿宋_GB2312" w:eastAsia="仿宋_GB2312" w:hint="eastAsia"/>
          <w:sz w:val="32"/>
          <w:szCs w:val="32"/>
        </w:rPr>
        <w:t>99</w:t>
      </w:r>
      <w:r>
        <w:rPr>
          <w:rFonts w:ascii="仿宋_GB2312" w:eastAsia="仿宋_GB2312" w:hint="eastAsia"/>
          <w:sz w:val="32"/>
          <w:szCs w:val="32"/>
        </w:rPr>
        <w:t>周岁的老人每人每年</w:t>
      </w:r>
      <w:r>
        <w:rPr>
          <w:rFonts w:ascii="仿宋_GB2312" w:eastAsia="仿宋_GB2312" w:hint="eastAsia"/>
          <w:sz w:val="32"/>
          <w:szCs w:val="32"/>
        </w:rPr>
        <w:t>1200</w:t>
      </w:r>
      <w:r>
        <w:rPr>
          <w:rFonts w:ascii="仿宋_GB2312" w:eastAsia="仿宋_GB2312" w:hint="eastAsia"/>
          <w:sz w:val="32"/>
          <w:szCs w:val="32"/>
        </w:rPr>
        <w:t>元，每月发放</w:t>
      </w:r>
      <w:r>
        <w:rPr>
          <w:rFonts w:ascii="仿宋_GB2312" w:eastAsia="仿宋_GB2312" w:hint="eastAsia"/>
          <w:sz w:val="32"/>
          <w:szCs w:val="32"/>
        </w:rPr>
        <w:t>100</w:t>
      </w:r>
      <w:r>
        <w:rPr>
          <w:rFonts w:ascii="仿宋_GB2312" w:eastAsia="仿宋_GB2312" w:hint="eastAsia"/>
          <w:sz w:val="32"/>
          <w:szCs w:val="32"/>
        </w:rPr>
        <w:t>元；</w:t>
      </w:r>
      <w:r>
        <w:rPr>
          <w:rFonts w:ascii="仿宋_GB2312" w:eastAsia="仿宋_GB2312" w:hint="eastAsia"/>
          <w:sz w:val="32"/>
          <w:szCs w:val="32"/>
        </w:rPr>
        <w:t>100</w:t>
      </w:r>
      <w:r>
        <w:rPr>
          <w:rFonts w:ascii="仿宋_GB2312" w:eastAsia="仿宋_GB2312" w:hint="eastAsia"/>
          <w:sz w:val="32"/>
          <w:szCs w:val="32"/>
        </w:rPr>
        <w:t>周岁以上老人每人每年</w:t>
      </w:r>
      <w:r>
        <w:rPr>
          <w:rFonts w:ascii="仿宋_GB2312" w:eastAsia="仿宋_GB2312" w:hint="eastAsia"/>
          <w:sz w:val="32"/>
          <w:szCs w:val="32"/>
        </w:rPr>
        <w:t>3600</w:t>
      </w:r>
      <w:r>
        <w:rPr>
          <w:rFonts w:ascii="仿宋_GB2312" w:eastAsia="仿宋_GB2312" w:hint="eastAsia"/>
          <w:sz w:val="32"/>
          <w:szCs w:val="32"/>
        </w:rPr>
        <w:t>元，每月发放</w:t>
      </w:r>
      <w:r>
        <w:rPr>
          <w:rFonts w:ascii="仿宋_GB2312" w:eastAsia="仿宋_GB2312" w:hint="eastAsia"/>
          <w:sz w:val="32"/>
          <w:szCs w:val="32"/>
        </w:rPr>
        <w:t>300</w:t>
      </w:r>
      <w:r>
        <w:rPr>
          <w:rFonts w:ascii="仿宋_GB2312" w:eastAsia="仿宋_GB2312" w:hint="eastAsia"/>
          <w:sz w:val="32"/>
          <w:szCs w:val="32"/>
        </w:rPr>
        <w:t>元。</w:t>
      </w:r>
      <w:bookmarkStart w:id="0" w:name="_GoBack"/>
      <w:bookmarkEnd w:id="0"/>
    </w:p>
    <w:p w:rsidR="00BE2E24" w:rsidRDefault="00126B78">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绩效评价原则、评价指标体系（附表说明）、评价方法、评价标准等。</w:t>
      </w:r>
    </w:p>
    <w:p w:rsidR="00BE2E24" w:rsidRDefault="00126B78">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绩效评价原则为客观评价、实事求是，评价依据为取得的成果，具体情况见附表。</w:t>
      </w:r>
    </w:p>
    <w:p w:rsidR="00BE2E24" w:rsidRDefault="00126B78">
      <w:pPr>
        <w:spacing w:line="600" w:lineRule="exact"/>
        <w:ind w:firstLineChars="200" w:firstLine="640"/>
        <w:rPr>
          <w:rFonts w:eastAsia="黑体"/>
          <w:sz w:val="32"/>
          <w:szCs w:val="32"/>
        </w:rPr>
      </w:pPr>
      <w:r>
        <w:rPr>
          <w:rFonts w:eastAsia="黑体" w:hint="eastAsia"/>
          <w:sz w:val="32"/>
          <w:szCs w:val="32"/>
        </w:rPr>
        <w:t>三、综合评价情况及评价结论</w:t>
      </w:r>
    </w:p>
    <w:p w:rsidR="00BE2E24" w:rsidRDefault="00126B78">
      <w:pPr>
        <w:spacing w:line="600" w:lineRule="exact"/>
        <w:ind w:firstLineChars="200" w:firstLine="640"/>
        <w:rPr>
          <w:rFonts w:eastAsia="黑体"/>
          <w:sz w:val="32"/>
          <w:szCs w:val="32"/>
        </w:rPr>
      </w:pPr>
      <w:r>
        <w:rPr>
          <w:rFonts w:ascii="仿宋" w:eastAsia="仿宋" w:hAnsi="仿宋" w:cs="Arial"/>
          <w:sz w:val="32"/>
          <w:szCs w:val="32"/>
        </w:rPr>
        <w:t>项目资金使用合规，无截留、挪用等现象，资金使用效益明显。</w:t>
      </w:r>
    </w:p>
    <w:p w:rsidR="00BE2E24" w:rsidRDefault="00126B78">
      <w:pPr>
        <w:spacing w:line="600" w:lineRule="exact"/>
        <w:ind w:firstLineChars="200" w:firstLine="640"/>
        <w:rPr>
          <w:rFonts w:eastAsia="黑体"/>
          <w:sz w:val="32"/>
          <w:szCs w:val="32"/>
        </w:rPr>
      </w:pPr>
      <w:r>
        <w:rPr>
          <w:rFonts w:eastAsia="黑体" w:hint="eastAsia"/>
          <w:sz w:val="32"/>
          <w:szCs w:val="32"/>
        </w:rPr>
        <w:t>四、绩效评价指标分析</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年为</w:t>
      </w:r>
      <w:r>
        <w:rPr>
          <w:rFonts w:ascii="仿宋_GB2312" w:eastAsia="仿宋_GB2312" w:hint="eastAsia"/>
          <w:sz w:val="32"/>
          <w:szCs w:val="32"/>
        </w:rPr>
        <w:t>户籍户口在我县且长期居住的</w:t>
      </w:r>
      <w:r>
        <w:rPr>
          <w:rFonts w:ascii="仿宋_GB2312" w:eastAsia="仿宋_GB2312" w:hint="eastAsia"/>
          <w:sz w:val="32"/>
          <w:szCs w:val="32"/>
        </w:rPr>
        <w:t>80</w:t>
      </w:r>
      <w:r>
        <w:rPr>
          <w:rFonts w:ascii="仿宋_GB2312" w:eastAsia="仿宋_GB2312" w:hint="eastAsia"/>
          <w:sz w:val="32"/>
          <w:szCs w:val="32"/>
        </w:rPr>
        <w:t>周岁以上所有高龄老人（年龄按照对年不对月计算）发放城乡高龄老人生活补贴</w:t>
      </w:r>
      <w:r>
        <w:rPr>
          <w:rFonts w:ascii="仿宋_GB2312" w:eastAsia="仿宋_GB2312" w:hint="eastAsia"/>
          <w:sz w:val="32"/>
          <w:szCs w:val="32"/>
        </w:rPr>
        <w:t>，项目资金每月由各乡镇（街道办）农商银行根据</w:t>
      </w:r>
      <w:r>
        <w:rPr>
          <w:rFonts w:ascii="仿宋_GB2312" w:eastAsia="仿宋_GB2312" w:hint="eastAsia"/>
          <w:sz w:val="32"/>
          <w:szCs w:val="32"/>
        </w:rPr>
        <w:t>《玉田县城乡高龄老人生活补贴备案表》</w:t>
      </w:r>
      <w:r>
        <w:rPr>
          <w:rFonts w:ascii="仿宋_GB2312" w:eastAsia="仿宋_GB2312" w:hint="eastAsia"/>
          <w:sz w:val="32"/>
          <w:szCs w:val="32"/>
        </w:rPr>
        <w:t>进行社会化发放。</w:t>
      </w:r>
      <w:r>
        <w:rPr>
          <w:rFonts w:ascii="仿宋_GB2312" w:eastAsia="仿宋_GB2312" w:hint="eastAsia"/>
          <w:sz w:val="32"/>
          <w:szCs w:val="32"/>
        </w:rPr>
        <w:t>2023</w:t>
      </w:r>
      <w:r>
        <w:rPr>
          <w:rFonts w:ascii="仿宋_GB2312" w:eastAsia="仿宋_GB2312" w:hint="eastAsia"/>
          <w:sz w:val="32"/>
          <w:szCs w:val="32"/>
        </w:rPr>
        <w:t>年城乡高龄老人生活补贴已全部发放完毕。</w:t>
      </w:r>
    </w:p>
    <w:p w:rsidR="00BE2E24" w:rsidRDefault="00126B78">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项目过程情况。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凡审批合格的高龄老人所需补贴资金由各乡镇（街道）纳入年初财政预算，乡镇（街道）民</w:t>
      </w:r>
      <w:r>
        <w:rPr>
          <w:rFonts w:ascii="仿宋_GB2312" w:eastAsia="仿宋_GB2312" w:hint="eastAsia"/>
          <w:sz w:val="32"/>
          <w:szCs w:val="32"/>
        </w:rPr>
        <w:lastRenderedPageBreak/>
        <w:t>政会同财政按照规定及时足额发放到位。县财政建立专项资金账户，保证专款专用、专账管理，严禁挪用。</w:t>
      </w:r>
    </w:p>
    <w:p w:rsidR="00BE2E24" w:rsidRDefault="00126B78">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项目产出情况。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年全县</w:t>
      </w:r>
      <w:r>
        <w:rPr>
          <w:rFonts w:ascii="仿宋_GB2312" w:eastAsia="仿宋_GB2312" w:hint="eastAsia"/>
          <w:sz w:val="32"/>
          <w:szCs w:val="32"/>
        </w:rPr>
        <w:t>80</w:t>
      </w:r>
      <w:r>
        <w:rPr>
          <w:rFonts w:ascii="仿宋_GB2312" w:eastAsia="仿宋_GB2312" w:hint="eastAsia"/>
          <w:sz w:val="32"/>
          <w:szCs w:val="32"/>
        </w:rPr>
        <w:t>周岁以上老人约</w:t>
      </w:r>
      <w:r>
        <w:rPr>
          <w:rFonts w:ascii="仿宋_GB2312" w:eastAsia="仿宋_GB2312" w:hint="eastAsia"/>
          <w:sz w:val="32"/>
          <w:szCs w:val="32"/>
        </w:rPr>
        <w:t>1.8</w:t>
      </w:r>
      <w:r>
        <w:rPr>
          <w:rFonts w:ascii="仿宋_GB2312" w:eastAsia="仿宋_GB2312" w:hint="eastAsia"/>
          <w:sz w:val="32"/>
          <w:szCs w:val="32"/>
        </w:rPr>
        <w:t>6</w:t>
      </w:r>
      <w:r>
        <w:rPr>
          <w:rFonts w:ascii="仿宋_GB2312" w:eastAsia="仿宋_GB2312" w:hint="eastAsia"/>
          <w:sz w:val="32"/>
          <w:szCs w:val="32"/>
        </w:rPr>
        <w:t>万人，共发放资金</w:t>
      </w:r>
      <w:r>
        <w:rPr>
          <w:rFonts w:ascii="仿宋_GB2312" w:eastAsia="仿宋_GB2312" w:hint="eastAsia"/>
          <w:sz w:val="32"/>
          <w:szCs w:val="32"/>
        </w:rPr>
        <w:t>1134.07</w:t>
      </w:r>
      <w:r>
        <w:rPr>
          <w:rFonts w:ascii="仿宋_GB2312" w:eastAsia="仿宋_GB2312" w:hint="eastAsia"/>
          <w:sz w:val="32"/>
          <w:szCs w:val="32"/>
        </w:rPr>
        <w:t>万元，按月按时发放至老人银行卡。</w:t>
      </w:r>
    </w:p>
    <w:p w:rsidR="00BE2E24" w:rsidRDefault="00126B78">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BE2E24" w:rsidRDefault="00126B7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受益群众</w:t>
      </w:r>
      <w:r>
        <w:rPr>
          <w:rFonts w:ascii="仿宋_GB2312" w:eastAsia="仿宋_GB2312" w:hint="eastAsia"/>
          <w:sz w:val="32"/>
          <w:szCs w:val="32"/>
        </w:rPr>
        <w:t>18633</w:t>
      </w:r>
      <w:r>
        <w:rPr>
          <w:rFonts w:ascii="仿宋_GB2312" w:eastAsia="仿宋_GB2312" w:hint="eastAsia"/>
          <w:sz w:val="32"/>
          <w:szCs w:val="32"/>
        </w:rPr>
        <w:t>人，群众满意度</w:t>
      </w:r>
      <w:r>
        <w:rPr>
          <w:rFonts w:ascii="仿宋_GB2312" w:eastAsia="仿宋_GB2312" w:hint="eastAsia"/>
          <w:sz w:val="32"/>
          <w:szCs w:val="32"/>
        </w:rPr>
        <w:t>100</w:t>
      </w:r>
      <w:r>
        <w:rPr>
          <w:rFonts w:ascii="仿宋_GB2312" w:eastAsia="仿宋_GB2312" w:hint="eastAsia"/>
          <w:sz w:val="32"/>
          <w:szCs w:val="32"/>
        </w:rPr>
        <w:t>％。</w:t>
      </w:r>
    </w:p>
    <w:p w:rsidR="00BE2E24" w:rsidRDefault="00126B78">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BE2E24" w:rsidRDefault="00126B78">
      <w:pPr>
        <w:spacing w:line="60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主要经验做法为：明确牵头科室，落实专人负责，对照文件要求逐项检查，做到主动及时查找，重点检查项目预算费用和实际使用费用情况。</w:t>
      </w:r>
    </w:p>
    <w:p w:rsidR="00BE2E24" w:rsidRDefault="00126B78">
      <w:pPr>
        <w:spacing w:line="60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存在的问题及原因：</w:t>
      </w:r>
      <w:r>
        <w:rPr>
          <w:rFonts w:ascii="仿宋" w:eastAsia="仿宋" w:hAnsi="仿宋" w:hint="eastAsia"/>
          <w:sz w:val="32"/>
          <w:szCs w:val="32"/>
          <w:shd w:val="clear" w:color="auto" w:fill="FFFFFF"/>
        </w:rPr>
        <w:t>80</w:t>
      </w:r>
      <w:r>
        <w:rPr>
          <w:rFonts w:ascii="仿宋" w:eastAsia="仿宋" w:hAnsi="仿宋" w:hint="eastAsia"/>
          <w:sz w:val="32"/>
          <w:szCs w:val="32"/>
          <w:shd w:val="clear" w:color="auto" w:fill="FFFFFF"/>
        </w:rPr>
        <w:t>周岁及以上老年人口数移动性较强，在数据更新上有时会不够及时；因高龄补贴发放标准对年不对月，所以年初时新增老年人数比较多，每年前三个月时效性不能保障按月发放。</w:t>
      </w:r>
    </w:p>
    <w:p w:rsidR="00BE2E24" w:rsidRDefault="00126B78">
      <w:pPr>
        <w:numPr>
          <w:ilvl w:val="0"/>
          <w:numId w:val="4"/>
        </w:numPr>
        <w:spacing w:line="600" w:lineRule="exact"/>
        <w:ind w:firstLineChars="200" w:firstLine="640"/>
        <w:rPr>
          <w:rFonts w:eastAsia="黑体"/>
          <w:sz w:val="32"/>
          <w:szCs w:val="32"/>
        </w:rPr>
      </w:pPr>
      <w:r>
        <w:rPr>
          <w:rFonts w:eastAsia="黑体" w:hint="eastAsia"/>
          <w:sz w:val="32"/>
          <w:szCs w:val="32"/>
        </w:rPr>
        <w:t>有关建议</w:t>
      </w:r>
    </w:p>
    <w:p w:rsidR="00BE2E24" w:rsidRDefault="00126B78">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建立健全补贴工作档案；全面收集发放对象的信息，建立发放对象数据库，实行动态化管理。</w:t>
      </w:r>
    </w:p>
    <w:p w:rsidR="00BE2E24" w:rsidRDefault="00126B78">
      <w:pPr>
        <w:spacing w:line="600" w:lineRule="exact"/>
        <w:ind w:firstLineChars="200" w:firstLine="640"/>
        <w:rPr>
          <w:rFonts w:eastAsia="黑体"/>
          <w:sz w:val="32"/>
          <w:szCs w:val="32"/>
        </w:rPr>
      </w:pPr>
      <w:r>
        <w:rPr>
          <w:rFonts w:eastAsia="黑体" w:hint="eastAsia"/>
          <w:sz w:val="32"/>
          <w:szCs w:val="32"/>
        </w:rPr>
        <w:t>七、其他需要说明的问题</w:t>
      </w:r>
    </w:p>
    <w:p w:rsidR="00BE2E24" w:rsidRDefault="00126B78">
      <w:pPr>
        <w:spacing w:line="600" w:lineRule="exact"/>
        <w:ind w:firstLineChars="200" w:firstLine="640"/>
        <w:rPr>
          <w:rFonts w:eastAsia="黑体"/>
          <w:sz w:val="32"/>
          <w:szCs w:val="32"/>
        </w:rPr>
      </w:pPr>
      <w:r>
        <w:rPr>
          <w:rFonts w:ascii="仿宋" w:eastAsia="仿宋" w:hAnsi="仿宋" w:hint="eastAsia"/>
          <w:sz w:val="32"/>
          <w:szCs w:val="32"/>
          <w:shd w:val="clear" w:color="auto" w:fill="FFFFFF"/>
        </w:rPr>
        <w:t>今后及时做好项目预算资金使用管理，提高负责管理人员工作业务水平，确保本项目预算任务评价工作水平提升。</w:t>
      </w:r>
    </w:p>
    <w:p w:rsidR="00BE2E24" w:rsidRDefault="00BE2E24"/>
    <w:p w:rsidR="00BE2E24" w:rsidRDefault="00BE2E24"/>
    <w:sectPr w:rsidR="00BE2E24" w:rsidSect="00BE2E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B78" w:rsidRDefault="00126B78" w:rsidP="00540D25">
      <w:r>
        <w:separator/>
      </w:r>
    </w:p>
  </w:endnote>
  <w:endnote w:type="continuationSeparator" w:id="1">
    <w:p w:rsidR="00126B78" w:rsidRDefault="00126B78" w:rsidP="00540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B78" w:rsidRDefault="00126B78" w:rsidP="00540D25">
      <w:r>
        <w:separator/>
      </w:r>
    </w:p>
  </w:footnote>
  <w:footnote w:type="continuationSeparator" w:id="1">
    <w:p w:rsidR="00126B78" w:rsidRDefault="00126B78" w:rsidP="00540D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458C23"/>
    <w:multiLevelType w:val="singleLevel"/>
    <w:tmpl w:val="E4458C23"/>
    <w:lvl w:ilvl="0">
      <w:start w:val="2"/>
      <w:numFmt w:val="chineseCounting"/>
      <w:suff w:val="nothing"/>
      <w:lvlText w:val="（%1）"/>
      <w:lvlJc w:val="left"/>
      <w:rPr>
        <w:rFonts w:hint="eastAsia"/>
      </w:rPr>
    </w:lvl>
  </w:abstractNum>
  <w:abstractNum w:abstractNumId="1">
    <w:nsid w:val="302DD7B1"/>
    <w:multiLevelType w:val="singleLevel"/>
    <w:tmpl w:val="302DD7B1"/>
    <w:lvl w:ilvl="0">
      <w:start w:val="2"/>
      <w:numFmt w:val="chineseCounting"/>
      <w:suff w:val="nothing"/>
      <w:lvlText w:val="（%1）"/>
      <w:lvlJc w:val="left"/>
      <w:rPr>
        <w:rFonts w:hint="eastAsia"/>
      </w:rPr>
    </w:lvl>
  </w:abstractNum>
  <w:abstractNum w:abstractNumId="2">
    <w:nsid w:val="550FDA10"/>
    <w:multiLevelType w:val="singleLevel"/>
    <w:tmpl w:val="550FDA10"/>
    <w:lvl w:ilvl="0">
      <w:start w:val="2"/>
      <w:numFmt w:val="chineseCounting"/>
      <w:suff w:val="nothing"/>
      <w:lvlText w:val="（%1）"/>
      <w:lvlJc w:val="left"/>
      <w:rPr>
        <w:rFonts w:hint="eastAsia"/>
      </w:rPr>
    </w:lvl>
  </w:abstractNum>
  <w:abstractNum w:abstractNumId="3">
    <w:nsid w:val="6BDCFDF5"/>
    <w:multiLevelType w:val="singleLevel"/>
    <w:tmpl w:val="6BDCFDF5"/>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26B78"/>
    <w:rsid w:val="00137150"/>
    <w:rsid w:val="00200B7A"/>
    <w:rsid w:val="003F6833"/>
    <w:rsid w:val="00540D25"/>
    <w:rsid w:val="00984BAA"/>
    <w:rsid w:val="00BE2E24"/>
    <w:rsid w:val="00DD32E2"/>
    <w:rsid w:val="3CB234AE"/>
    <w:rsid w:val="6BC16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E2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0D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0D25"/>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540D2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0D25"/>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266</Words>
  <Characters>1518</Characters>
  <Application>Microsoft Office Word</Application>
  <DocSecurity>0</DocSecurity>
  <Lines>12</Lines>
  <Paragraphs>3</Paragraphs>
  <ScaleCrop>false</ScaleCrop>
  <Company>China</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