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 xml:space="preserve">人民调解 </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 xml:space="preserve">    （一）项目概况。</w:t>
      </w:r>
    </w:p>
    <w:p>
      <w:pPr>
        <w:spacing w:line="600" w:lineRule="exact"/>
        <w:rPr>
          <w:rFonts w:ascii="仿宋_GB2312" w:eastAsia="仿宋_GB2312"/>
          <w:sz w:val="32"/>
          <w:szCs w:val="32"/>
        </w:rPr>
      </w:pPr>
      <w:r>
        <w:rPr>
          <w:rFonts w:hint="eastAsia" w:ascii="仿宋_GB2312" w:eastAsia="仿宋_GB2312"/>
          <w:sz w:val="32"/>
          <w:szCs w:val="32"/>
        </w:rPr>
        <w:t xml:space="preserve">   “人民调解”项目年初安排资金3000元，财政未拨付资金。</w:t>
      </w:r>
    </w:p>
    <w:p>
      <w:pPr>
        <w:spacing w:line="500" w:lineRule="exact"/>
        <w:ind w:firstLine="640" w:firstLineChars="200"/>
        <w:jc w:val="left"/>
        <w:rPr>
          <w:rFonts w:ascii="仿宋_GB2312" w:eastAsia="仿宋_GB2312"/>
          <w:sz w:val="32"/>
          <w:szCs w:val="32"/>
        </w:rPr>
      </w:pPr>
      <w:r>
        <w:rPr>
          <w:rFonts w:hint="eastAsia" w:ascii="仿宋_GB2312" w:eastAsia="仿宋_GB2312"/>
          <w:sz w:val="32"/>
          <w:szCs w:val="32"/>
        </w:rPr>
        <w:t>（二）项目绩效目标。项目主要目标为指导人民调解委员会工作，落实调解员补贴，民间各类矛盾纠纷调处率92%以上，全年组织人民调解骨干培训两次。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100；2、产出指标-数量指标-培训参加人次（参加人民调解业务培训人次），指标值=100；3、产出指标-数量指标-培训计划按期完成率（%）（按期完成的培训计划占总计划），指标值=100。4、效果指标-经济效益指标-外宣品发放使用量占生产量的比例（%）（反映外宣品的使用程度），指标值=100；5、效果指标—可持续影响指标-长期使用性（长期连续开展人民调解业务指导培训），指标值为长期坚持调解宣传，化解矛盾，提高群众精神文化生活水平。6、效果指标—社会效益指标-人民调解案件数（人民调解案件数量），指标值&gt;=200；7、满意度指标-群众满意度-（群众满意度数量占总数的比例），指标值=100。8、满意度指标-服务对象满意度指标-参与群众满意度情况（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年度县本级人民调解经费未拨付到单位，未按照年初预定执行进度完成。</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（一）项目决策情况。项目旨在指导人民调解委员会工作，落实调解员补贴，民间各类矛盾纠纷调处率92%以上，全年组织人民调解骨干培训两次。</w:t>
      </w:r>
    </w:p>
    <w:p>
      <w:pPr>
        <w:ind w:firstLine="640" w:firstLineChars="200"/>
        <w:rPr>
          <w:rFonts w:ascii="仿宋_GB2312" w:eastAsia="仿宋_GB2312"/>
          <w:sz w:val="32"/>
          <w:szCs w:val="32"/>
        </w:rPr>
      </w:pPr>
      <w:r>
        <w:rPr>
          <w:rFonts w:hint="eastAsia" w:ascii="仿宋_GB2312" w:eastAsia="仿宋_GB2312"/>
          <w:sz w:val="32"/>
          <w:szCs w:val="32"/>
        </w:rPr>
        <w:t>（二）项目过程情况。年初安排项目预算资金0.3万元，财政未拨付到位，资金到位率0%、开展人民调解业务主要由上级转移支付资金列支。</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参加人民调解业务培训人次不少于100人（2）质量指标。培训会议参会率93%。（3）成本指标。业务维修、司法行政机关业务用房和司法所维修成本，严格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（四）项目效益情况。长期连续开展人民调解业务指导培训，使社会稳定指数增加3.满意度指标，群众满意度95%，服务对象满意度96%，业务活动参与者满意度100%。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县本级项目资金未拨付到位，未能按照年初预定进度执行，上年结转资金较多，影响了当年转移支付预算执行率。业务开展采购不及时，办案资金支出较慢。</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112354094f730c272606a3907fbfd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12354094f730c272606a3907fbfd18"/>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347AED"/>
    <w:rsid w:val="00461EA1"/>
    <w:rsid w:val="004B3BEF"/>
    <w:rsid w:val="00635483"/>
    <w:rsid w:val="006D698D"/>
    <w:rsid w:val="007B014A"/>
    <w:rsid w:val="0081070C"/>
    <w:rsid w:val="008D0681"/>
    <w:rsid w:val="008D60A2"/>
    <w:rsid w:val="00965936"/>
    <w:rsid w:val="00D42208"/>
    <w:rsid w:val="00D72339"/>
    <w:rsid w:val="00E02B12"/>
    <w:rsid w:val="00E100D9"/>
    <w:rsid w:val="00FE354F"/>
    <w:rsid w:val="03141E75"/>
    <w:rsid w:val="0A4377E7"/>
    <w:rsid w:val="0E3F5742"/>
    <w:rsid w:val="0FD13331"/>
    <w:rsid w:val="12AC3881"/>
    <w:rsid w:val="12FC282C"/>
    <w:rsid w:val="1B236EFB"/>
    <w:rsid w:val="23032F7A"/>
    <w:rsid w:val="248A1E14"/>
    <w:rsid w:val="277A2518"/>
    <w:rsid w:val="282F59DC"/>
    <w:rsid w:val="2FCA63EE"/>
    <w:rsid w:val="30806FF1"/>
    <w:rsid w:val="32BF1487"/>
    <w:rsid w:val="365A7206"/>
    <w:rsid w:val="3BCE02C8"/>
    <w:rsid w:val="3C5340D6"/>
    <w:rsid w:val="3E423973"/>
    <w:rsid w:val="41EA236C"/>
    <w:rsid w:val="4595474B"/>
    <w:rsid w:val="47D20FEB"/>
    <w:rsid w:val="497A2F38"/>
    <w:rsid w:val="499B2B49"/>
    <w:rsid w:val="49D67DF9"/>
    <w:rsid w:val="49DC2A26"/>
    <w:rsid w:val="4A31322A"/>
    <w:rsid w:val="4C066967"/>
    <w:rsid w:val="4C9F6826"/>
    <w:rsid w:val="51D879E2"/>
    <w:rsid w:val="5BB357D2"/>
    <w:rsid w:val="5DC0578D"/>
    <w:rsid w:val="5E507E13"/>
    <w:rsid w:val="63AF0C61"/>
    <w:rsid w:val="663F7267"/>
    <w:rsid w:val="6E3879A4"/>
    <w:rsid w:val="72877E69"/>
    <w:rsid w:val="76274EFB"/>
    <w:rsid w:val="7C4B0358"/>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1685</Words>
  <Characters>1755</Characters>
  <Lines>12</Lines>
  <Paragraphs>3</Paragraphs>
  <TotalTime>11</TotalTime>
  <ScaleCrop>false</ScaleCrop>
  <LinksUpToDate>false</LinksUpToDate>
  <CharactersWithSpaces>1765</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2024-04-26T08:46:25Z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AB33AF0439B749F1A79BA9351C7B8E27</vt:lpwstr>
  </property>
</Properties>
</file>