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玉田县司法局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rPr>
        <w:t>202</w:t>
      </w:r>
      <w:r>
        <w:rPr>
          <w:rFonts w:hint="eastAsia" w:ascii="方正小标宋_GBK" w:hAnsi="宋体" w:eastAsia="方正小标宋_GBK" w:cs="宋体"/>
          <w:bCs/>
          <w:kern w:val="0"/>
          <w:sz w:val="44"/>
          <w:szCs w:val="44"/>
          <w:u w:val="single"/>
          <w:lang w:val="en-US" w:eastAsia="zh-CN"/>
        </w:rPr>
        <w:t>3</w:t>
      </w:r>
      <w:r>
        <w:rPr>
          <w:rFonts w:hint="eastAsia" w:ascii="方正小标宋_GBK" w:hAnsi="宋体" w:eastAsia="方正小标宋_GBK" w:cs="宋体"/>
          <w:bCs/>
          <w:kern w:val="0"/>
          <w:sz w:val="44"/>
          <w:szCs w:val="44"/>
          <w:u w:val="single"/>
        </w:rPr>
        <w:t xml:space="preserve">年中央政法纪检监察转移支付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rPr>
          <w:rFonts w:ascii="仿宋_GB2312" w:eastAsia="仿宋_GB2312"/>
          <w:sz w:val="32"/>
          <w:szCs w:val="32"/>
        </w:rPr>
      </w:pPr>
      <w:r>
        <w:rPr>
          <w:rFonts w:hint="eastAsia" w:ascii="仿宋_GB2312" w:eastAsia="仿宋_GB2312"/>
          <w:sz w:val="32"/>
          <w:szCs w:val="32"/>
        </w:rPr>
        <w:t>（一）项目概况。</w:t>
      </w:r>
    </w:p>
    <w:p>
      <w:pPr>
        <w:spacing w:line="600" w:lineRule="exact"/>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年中央政法纪检监察转移支付”项目年初安排资金7</w:t>
      </w:r>
      <w:r>
        <w:rPr>
          <w:rFonts w:hint="eastAsia" w:ascii="仿宋_GB2312" w:eastAsia="仿宋_GB2312"/>
          <w:sz w:val="32"/>
          <w:szCs w:val="32"/>
          <w:lang w:val="en-US" w:eastAsia="zh-CN"/>
        </w:rPr>
        <w:t>7</w:t>
      </w:r>
      <w:r>
        <w:rPr>
          <w:rFonts w:hint="eastAsia" w:ascii="仿宋_GB2312" w:eastAsia="仿宋_GB2312"/>
          <w:sz w:val="32"/>
          <w:szCs w:val="32"/>
        </w:rPr>
        <w:t>万元,已使用</w:t>
      </w:r>
      <w:r>
        <w:rPr>
          <w:rFonts w:hint="eastAsia" w:ascii="仿宋_GB2312" w:eastAsia="仿宋_GB2312"/>
          <w:sz w:val="32"/>
          <w:szCs w:val="32"/>
          <w:lang w:val="en-US" w:eastAsia="zh-CN"/>
        </w:rPr>
        <w:t>52.28</w:t>
      </w:r>
      <w:r>
        <w:rPr>
          <w:rFonts w:hint="eastAsia" w:ascii="仿宋_GB2312" w:eastAsia="仿宋_GB2312"/>
          <w:sz w:val="32"/>
          <w:szCs w:val="32"/>
        </w:rPr>
        <w:t>万元，预算执行率</w:t>
      </w:r>
      <w:r>
        <w:rPr>
          <w:rFonts w:hint="eastAsia" w:ascii="仿宋_GB2312" w:eastAsia="仿宋_GB2312"/>
          <w:sz w:val="32"/>
          <w:szCs w:val="32"/>
          <w:lang w:val="en-US" w:eastAsia="zh-CN"/>
        </w:rPr>
        <w:t>67.9</w:t>
      </w:r>
      <w:r>
        <w:rPr>
          <w:rFonts w:hint="eastAsia" w:ascii="仿宋_GB2312" w:eastAsia="仿宋_GB2312"/>
          <w:sz w:val="32"/>
          <w:szCs w:val="32"/>
        </w:rPr>
        <w:t>%。</w:t>
      </w:r>
    </w:p>
    <w:p>
      <w:pPr>
        <w:spacing w:line="500" w:lineRule="exact"/>
        <w:jc w:val="left"/>
        <w:rPr>
          <w:rFonts w:ascii="仿宋_GB2312" w:eastAsia="仿宋_GB2312"/>
          <w:sz w:val="32"/>
          <w:szCs w:val="32"/>
        </w:rPr>
      </w:pPr>
      <w:r>
        <w:rPr>
          <w:rFonts w:hint="eastAsia" w:ascii="仿宋_GB2312" w:eastAsia="仿宋_GB2312"/>
          <w:sz w:val="32"/>
          <w:szCs w:val="32"/>
        </w:rPr>
        <w:t>（二）项目绩效目标。项目主要目标保障司法行政办案装备及业务经费，法律援助业务资金。资金累计支出进度3月底、6月底、10月底、12月底分别达到30%、60%、80%、100%。项目共设产出指标、效果指标、满意度指标三个一级指标，下设9个三级指标。具体为：1、产出指标-时效指标-完成率（按照要求和计划完成研究任务的项目在所有立项项目中的比例（百分比）），指标值&gt;=100；2、产出指标-数量指标-河北日报《法治河北专版》宣传版面（反应全县依法治县开展宣传情况），指标值=1；3、产出指标—数量指标-办理行政复议案件次数（接待并受理行政案件次数）指标值&gt;=40；4、效果指标-社会效益指标-参与政府决策次数（参与决策咨询次数），指标值,=3；5、效果指标—社会效益指标-社会稳定水平（通过支开展依法治县活动，使社会稳定指数增加），指标值为重点开展依法治县工作；6、效果指标-社会效益指标-行政执法培训水平（加大行政执法培训，提高行政执法水平），指标值为加行政执法培训力度，提高行政执法水平；7、满意度指标-群众参与者满意度-行政复议活动参与者满意度情况（行政复议参与者满意人数占参与人数的比例，指标值&gt;=80。以上指标是根据计划安排确定。8、满意度指标-服务对象满意度指标-参与群众满意度情况（行政复议活动服务对象满意人数占参与人数的比例），指标值&gt;=80。以上指标是根据计划安排确定。9、满意度指标-社会公众投诉率（投诉人数占服务总人数的比例），指标值&lt;=2。</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绩效评价目的、对象和范围。绩效评价对象为当年所有财政项目资金（既包含部门预算项目资金，也包含上年结转资金）。</w:t>
      </w:r>
    </w:p>
    <w:p>
      <w:pPr>
        <w:numPr>
          <w:ilvl w:val="0"/>
          <w:numId w:val="2"/>
        </w:numPr>
        <w:spacing w:line="600" w:lineRule="exact"/>
        <w:ind w:firstLine="640" w:firstLineChars="200"/>
        <w:rPr>
          <w:rFonts w:eastAsia="黑体"/>
          <w:sz w:val="32"/>
          <w:szCs w:val="32"/>
        </w:rPr>
      </w:pPr>
      <w:r>
        <w:rPr>
          <w:rFonts w:hint="eastAsia" w:eastAsia="黑体"/>
          <w:sz w:val="32"/>
          <w:szCs w:val="32"/>
        </w:rPr>
        <w:t>综合评价情况及评价结论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虽然绩效目标完成较好，但是上年专项结转资金较多，影响了当年转移支付预算执行率。开展业务采购不及时，办案资金支出较慢。今后我局重点加快转移支付预算资金使用进度，提前布置业务设备采购项目，合理加快支出司法业务资金，严格按照司法业务开支范围，严格专款专用，充分发挥转移支付资金使用效率。</w:t>
      </w:r>
    </w:p>
    <w:p>
      <w:pPr>
        <w:spacing w:line="600" w:lineRule="exact"/>
        <w:ind w:firstLine="640" w:firstLineChars="200"/>
        <w:rPr>
          <w:rFonts w:eastAsia="黑体"/>
          <w:sz w:val="32"/>
          <w:szCs w:val="32"/>
        </w:rPr>
      </w:pPr>
      <w:r>
        <w:rPr>
          <w:rFonts w:hint="eastAsia" w:eastAsia="黑体"/>
          <w:sz w:val="32"/>
          <w:szCs w:val="32"/>
        </w:rPr>
        <w:t>四、绩效评价指标分析</w:t>
      </w:r>
    </w:p>
    <w:p>
      <w:pPr>
        <w:ind w:firstLine="640" w:firstLineChars="200"/>
        <w:rPr>
          <w:rFonts w:ascii="仿宋_GB2312" w:eastAsia="仿宋_GB2312"/>
          <w:sz w:val="32"/>
          <w:szCs w:val="32"/>
        </w:rPr>
      </w:pPr>
      <w:r>
        <w:rPr>
          <w:rFonts w:hint="eastAsia" w:ascii="仿宋_GB2312" w:eastAsia="仿宋_GB2312"/>
          <w:sz w:val="32"/>
          <w:szCs w:val="32"/>
        </w:rPr>
        <w:t>（一）项目决策情况。项目旨在为建设法治政府、推行依法行政、保障基层司法行政业务正常开展。</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（二）项目过程情况。年初安排项目预算资金7</w:t>
      </w:r>
      <w:r>
        <w:rPr>
          <w:rFonts w:hint="eastAsia" w:ascii="仿宋_GB2312" w:eastAsia="仿宋_GB2312"/>
          <w:sz w:val="32"/>
          <w:szCs w:val="32"/>
          <w:lang w:val="en-US" w:eastAsia="zh-CN"/>
        </w:rPr>
        <w:t>7</w:t>
      </w:r>
      <w:r>
        <w:rPr>
          <w:rFonts w:hint="eastAsia" w:ascii="仿宋_GB2312" w:eastAsia="仿宋_GB2312"/>
          <w:sz w:val="32"/>
          <w:szCs w:val="32"/>
        </w:rPr>
        <w:t>万元，实际使用</w:t>
      </w:r>
      <w:r>
        <w:rPr>
          <w:rFonts w:hint="eastAsia" w:ascii="仿宋_GB2312" w:eastAsia="仿宋_GB2312"/>
          <w:sz w:val="32"/>
          <w:szCs w:val="32"/>
          <w:lang w:val="en-US" w:eastAsia="zh-CN"/>
        </w:rPr>
        <w:t>52.28</w:t>
      </w:r>
      <w:r>
        <w:rPr>
          <w:rFonts w:hint="eastAsia" w:ascii="仿宋_GB2312" w:eastAsia="仿宋_GB2312"/>
          <w:sz w:val="32"/>
          <w:szCs w:val="32"/>
        </w:rPr>
        <w:t>万元，预算执行率</w:t>
      </w:r>
      <w:r>
        <w:rPr>
          <w:rFonts w:hint="eastAsia" w:ascii="仿宋_GB2312" w:eastAsia="仿宋_GB2312"/>
          <w:sz w:val="32"/>
          <w:szCs w:val="32"/>
          <w:lang w:val="en-US" w:eastAsia="zh-CN"/>
        </w:rPr>
        <w:t>67.9</w:t>
      </w:r>
      <w:r>
        <w:rPr>
          <w:rFonts w:hint="eastAsia" w:ascii="仿宋_GB2312" w:eastAsia="仿宋_GB2312"/>
          <w:sz w:val="32"/>
          <w:szCs w:val="32"/>
        </w:rPr>
        <w:t>%、资金主要用于开展基层司法工作，购买司法业务装备等。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（三）项目产出情况。（1）数量指标-组织人民调解业务培训次数不少于2次，（2）质量指标-培训会议参会率93%。（3）成本指标-业务维修、司法行政机关业务用房和司法所维修成本，控制在招标确定的成本内。</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（四）项目效益情况-生态效益指标-水电能源节约率80%。</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3.满意度指标-群众满意度95%，服务对象满意度96%，业务活动参与者满意度100%。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虽然绩效目标完成较好，但是上年结转资金较多，影响了当年转移支付预算执行率。业务开展采购不及时，办案资金支出较慢。</w:t>
      </w:r>
    </w:p>
    <w:p>
      <w:pPr>
        <w:numPr>
          <w:ilvl w:val="0"/>
          <w:numId w:val="3"/>
        </w:numPr>
        <w:spacing w:line="600" w:lineRule="exact"/>
        <w:ind w:firstLine="640" w:firstLineChars="200"/>
        <w:rPr>
          <w:rFonts w:eastAsia="黑体"/>
          <w:sz w:val="32"/>
          <w:szCs w:val="32"/>
        </w:rPr>
      </w:pPr>
      <w:r>
        <w:rPr>
          <w:rFonts w:hint="eastAsia" w:eastAsia="黑体"/>
          <w:sz w:val="32"/>
          <w:szCs w:val="32"/>
        </w:rPr>
        <w:t>有关建议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今后我局重点加快转移支付预算资金使用进度，提前布置业务设备采购项目，合理加快支出司法业务资金，严格按照司法业务开支范围，严格专款转专用，充分发挥转移支付资金使用效率。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tabs>
          <w:tab w:val="left" w:pos="696"/>
        </w:tabs>
        <w:rPr>
          <w:rFonts w:hint="eastAsia" w:ascii="仿宋_GB2312" w:eastAsia="仿宋_GB2312"/>
          <w:sz w:val="32"/>
          <w:szCs w:val="32"/>
        </w:rPr>
      </w:pPr>
      <w:r>
        <w:rPr>
          <w:rFonts w:hint="eastAsia"/>
        </w:rPr>
        <w:tab/>
      </w:r>
      <w:r>
        <w:rPr>
          <w:rFonts w:hint="eastAsia" w:ascii="仿宋_GB2312" w:eastAsia="仿宋_GB2312"/>
          <w:sz w:val="32"/>
          <w:szCs w:val="32"/>
        </w:rPr>
        <w:t>无</w:t>
      </w: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lang w:eastAsia="zh-CN"/>
        </w:rPr>
      </w:pPr>
      <w:r>
        <w:rPr>
          <w:rFonts w:hint="eastAsia" w:ascii="仿宋_GB2312" w:eastAsia="仿宋_GB2312"/>
          <w:sz w:val="32"/>
          <w:szCs w:val="32"/>
          <w:lang w:eastAsia="zh-CN"/>
        </w:rPr>
        <w:drawing>
          <wp:inline distT="0" distB="0" distL="114300" distR="114300">
            <wp:extent cx="4979035" cy="8851265"/>
            <wp:effectExtent l="0" t="0" r="12065" b="6985"/>
            <wp:docPr id="1" name="图片 1" descr="896fc1b68000646640e27b54cc533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896fc1b68000646640e27b54cc5336f"/>
                    <pic:cNvPicPr>
                      <a:picLocks noChangeAspect="1"/>
                    </pic:cNvPicPr>
                  </pic:nvPicPr>
                  <pic:blipFill>
                    <a:blip r:embed="rId4"/>
                    <a:stretch>
                      <a:fillRect/>
                    </a:stretch>
                  </pic:blipFill>
                  <pic:spPr>
                    <a:xfrm>
                      <a:off x="0" y="0"/>
                      <a:ext cx="4979035" cy="8851265"/>
                    </a:xfrm>
                    <a:prstGeom prst="rect">
                      <a:avLst/>
                    </a:prstGeom>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B7657"/>
    <w:multiLevelType w:val="singleLevel"/>
    <w:tmpl w:val="B9FB7657"/>
    <w:lvl w:ilvl="0" w:tentative="0">
      <w:start w:val="3"/>
      <w:numFmt w:val="chineseCounting"/>
      <w:suff w:val="nothing"/>
      <w:lvlText w:val="%1、"/>
      <w:lvlJc w:val="left"/>
      <w:rPr>
        <w:rFonts w:hint="eastAsia"/>
      </w:rPr>
    </w:lvl>
  </w:abstractNum>
  <w:abstractNum w:abstractNumId="1">
    <w:nsid w:val="DD9A775A"/>
    <w:multiLevelType w:val="singleLevel"/>
    <w:tmpl w:val="DD9A775A"/>
    <w:lvl w:ilvl="0" w:tentative="0">
      <w:start w:val="2"/>
      <w:numFmt w:val="chineseCounting"/>
      <w:suff w:val="nothing"/>
      <w:lvlText w:val="（%1）"/>
      <w:lvlJc w:val="left"/>
      <w:rPr>
        <w:rFonts w:hint="eastAsia"/>
      </w:rPr>
    </w:lvl>
  </w:abstractNum>
  <w:abstractNum w:abstractNumId="2">
    <w:nsid w:val="723A5B60"/>
    <w:multiLevelType w:val="singleLevel"/>
    <w:tmpl w:val="723A5B60"/>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72339"/>
    <w:rsid w:val="004C4ED5"/>
    <w:rsid w:val="006B485B"/>
    <w:rsid w:val="006D698D"/>
    <w:rsid w:val="007B014A"/>
    <w:rsid w:val="008356C0"/>
    <w:rsid w:val="008D0681"/>
    <w:rsid w:val="00A46078"/>
    <w:rsid w:val="00AF0431"/>
    <w:rsid w:val="00D67C83"/>
    <w:rsid w:val="00D72339"/>
    <w:rsid w:val="00FF797B"/>
    <w:rsid w:val="03141E75"/>
    <w:rsid w:val="0A4377E7"/>
    <w:rsid w:val="0E3F5742"/>
    <w:rsid w:val="0FD13331"/>
    <w:rsid w:val="12AC3881"/>
    <w:rsid w:val="12FC282C"/>
    <w:rsid w:val="13B57FCB"/>
    <w:rsid w:val="13CB444E"/>
    <w:rsid w:val="16511628"/>
    <w:rsid w:val="1B236EFB"/>
    <w:rsid w:val="23032F7A"/>
    <w:rsid w:val="248A1E14"/>
    <w:rsid w:val="282F59DC"/>
    <w:rsid w:val="2FCA63EE"/>
    <w:rsid w:val="30806FF1"/>
    <w:rsid w:val="32BF1487"/>
    <w:rsid w:val="365A7206"/>
    <w:rsid w:val="3BCE02C8"/>
    <w:rsid w:val="3D960F4A"/>
    <w:rsid w:val="41EA236C"/>
    <w:rsid w:val="4595474B"/>
    <w:rsid w:val="46215D6B"/>
    <w:rsid w:val="49D67DF9"/>
    <w:rsid w:val="49DC2A26"/>
    <w:rsid w:val="4A31322A"/>
    <w:rsid w:val="4C9F6826"/>
    <w:rsid w:val="4FC06FD8"/>
    <w:rsid w:val="51D879E2"/>
    <w:rsid w:val="5C3674FD"/>
    <w:rsid w:val="5DC0578D"/>
    <w:rsid w:val="5F812244"/>
    <w:rsid w:val="63AF0C61"/>
    <w:rsid w:val="663F7267"/>
    <w:rsid w:val="72877E69"/>
    <w:rsid w:val="76274EFB"/>
    <w:rsid w:val="7A92631D"/>
    <w:rsid w:val="7F1F10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1812</Words>
  <Characters>1887</Characters>
  <Lines>13</Lines>
  <Paragraphs>3</Paragraphs>
  <TotalTime>11</TotalTime>
  <ScaleCrop>false</ScaleCrop>
  <LinksUpToDate>false</LinksUpToDate>
  <CharactersWithSpaces>1890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2024-04-26T08:43:14Z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0B1C90C83B2E454B8661E11BEDE9E82D</vt:lpwstr>
  </property>
</Properties>
</file>