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202</w:t>
      </w:r>
      <w:r>
        <w:rPr>
          <w:rFonts w:hint="eastAsia" w:ascii="方正小标宋_GBK" w:hAnsi="宋体" w:eastAsia="方正小标宋_GBK" w:cs="宋体"/>
          <w:bCs/>
          <w:kern w:val="0"/>
          <w:sz w:val="44"/>
          <w:szCs w:val="44"/>
          <w:u w:val="single"/>
          <w:lang w:val="en-US" w:eastAsia="zh-CN"/>
        </w:rPr>
        <w:t>3</w:t>
      </w:r>
      <w:r>
        <w:rPr>
          <w:rFonts w:hint="eastAsia" w:ascii="方正小标宋_GBK" w:hAnsi="宋体" w:eastAsia="方正小标宋_GBK" w:cs="宋体"/>
          <w:bCs/>
          <w:kern w:val="0"/>
          <w:sz w:val="44"/>
          <w:szCs w:val="44"/>
          <w:u w:val="single"/>
        </w:rPr>
        <w:t xml:space="preserve">年社区矫正转移支付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年社区矫正转移支付”项目年初安排资金</w:t>
      </w:r>
      <w:r>
        <w:rPr>
          <w:rFonts w:hint="eastAsia" w:ascii="仿宋_GB2312" w:eastAsia="仿宋_GB2312"/>
          <w:sz w:val="32"/>
          <w:szCs w:val="32"/>
          <w:lang w:val="en-US" w:eastAsia="zh-CN"/>
        </w:rPr>
        <w:t>2.58</w:t>
      </w:r>
      <w:r>
        <w:rPr>
          <w:rFonts w:hint="eastAsia" w:ascii="仿宋_GB2312" w:eastAsia="仿宋_GB2312"/>
          <w:sz w:val="32"/>
          <w:szCs w:val="32"/>
        </w:rPr>
        <w:t>万元，当年</w:t>
      </w:r>
      <w:r>
        <w:rPr>
          <w:rFonts w:hint="eastAsia" w:ascii="仿宋_GB2312" w:eastAsia="仿宋_GB2312"/>
          <w:sz w:val="32"/>
          <w:szCs w:val="32"/>
          <w:lang w:eastAsia="zh-CN"/>
        </w:rPr>
        <w:t>已经全部</w:t>
      </w:r>
      <w:r>
        <w:rPr>
          <w:rFonts w:hint="eastAsia" w:ascii="仿宋_GB2312" w:eastAsia="仿宋_GB2312"/>
          <w:sz w:val="32"/>
          <w:szCs w:val="32"/>
        </w:rPr>
        <w:t>支出，预算执行率</w:t>
      </w:r>
      <w:r>
        <w:rPr>
          <w:rFonts w:hint="eastAsia" w:ascii="仿宋_GB2312" w:eastAsia="仿宋_GB2312"/>
          <w:sz w:val="32"/>
          <w:szCs w:val="32"/>
          <w:lang w:val="en-US" w:eastAsia="zh-CN"/>
        </w:rPr>
        <w:t>10</w:t>
      </w:r>
      <w:r>
        <w:rPr>
          <w:rFonts w:hint="eastAsia" w:ascii="仿宋_GB2312" w:eastAsia="仿宋_GB2312"/>
          <w:sz w:val="32"/>
          <w:szCs w:val="32"/>
        </w:rPr>
        <w:t>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项目绩效目标。项目主要目标为保障社区矫正办案装备及业务经费，降低再犯罪率，提升社会稳定指数。资金累计支出进度3月底、6月底、10月底、12月底分别达到30%、60%、80%、100%。项目共设产出指标、效果指标、满意度指标三个一级指标，下设9个三级指标。具体为：1、产出指标-时效指标-完成率（按照要求和计划完成研究任务的项目在所有立项项目中的比例（百分比）），指标值&gt;=100；2、产出指标-数量指标-组织社区矫正业务培训次数，指标值为不少于2次；3、产出指标—质量指标-培训会议参会率，指标值&gt;=95%；4、效果指标-生态效益指标-水电能源节约率，指标值&gt;=80%；5、效果指标—社会效益指标-社会稳定水平（通过支开展社区矫正，普法宣传等工作，使社会稳定指数增加），指标值为重点开展依法治县工作；6、效果指标-可持续影响指标-不间断地长期开展普法演出、宣传，促进法制文明建设工作开展，指标值为提高社会法治水平；7、满意度指标-群众参与者满意度-活动参与者满意度情况（参与者满意人数占参与人数的比例，指标值&gt;=80%。以上指标是根据计划安排确定。8、满意度指标-服务对象满意度指标-培训对象满意度情况，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lang w:eastAsia="zh-CN"/>
        </w:rPr>
        <w:t>本年转移支付资金数额较小，业务支出较及时，</w:t>
      </w: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（一）项目决策情况。项目旨在为建设法治政府、推行依法行政、保障基层司法行政业务正常开展。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（二）项目过程情况。年初安排项目预算资金</w:t>
      </w:r>
      <w:r>
        <w:rPr>
          <w:rFonts w:hint="eastAsia" w:ascii="仿宋_GB2312" w:eastAsia="仿宋_GB2312"/>
          <w:sz w:val="32"/>
          <w:szCs w:val="32"/>
          <w:lang w:val="en-US" w:eastAsia="zh-CN"/>
        </w:rPr>
        <w:t>2.58</w:t>
      </w:r>
      <w:r>
        <w:rPr>
          <w:rFonts w:hint="eastAsia" w:ascii="仿宋_GB2312" w:eastAsia="仿宋_GB2312"/>
          <w:sz w:val="32"/>
          <w:szCs w:val="32"/>
        </w:rPr>
        <w:t>万元，当年未支出，预算执行率0%、资金主要用于开展社区矫正工作，购买司法业务装备等。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（三）项目产出情况。（1）数量指标-组织社区矫正业务培训次数不少于2次，（2）质量指标-培训会议参会率93%。（3）成本指标-业务维修、司法行政机关业务用房和司法所维修成本，控制在招标确定的成本内。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（四）项目效益情况-生态效益指标-水电能源节约率80%。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上年结转资金较多，影响了当年转移支付预算执行率。业务开展采购不及时，办案</w:t>
      </w:r>
      <w:r>
        <w:rPr>
          <w:rFonts w:hint="eastAsia" w:ascii="仿宋_GB2312" w:eastAsia="仿宋_GB2312"/>
          <w:sz w:val="32"/>
          <w:szCs w:val="32"/>
          <w:lang w:eastAsia="zh-CN"/>
        </w:rPr>
        <w:t>设备</w:t>
      </w:r>
      <w:r>
        <w:rPr>
          <w:rFonts w:hint="eastAsia" w:ascii="仿宋_GB2312" w:eastAsia="仿宋_GB2312"/>
          <w:sz w:val="32"/>
          <w:szCs w:val="32"/>
        </w:rPr>
        <w:t>资金支出较</w:t>
      </w:r>
      <w:r>
        <w:rPr>
          <w:rFonts w:hint="eastAsia" w:ascii="仿宋_GB2312" w:eastAsia="仿宋_GB2312"/>
          <w:sz w:val="32"/>
          <w:szCs w:val="32"/>
          <w:lang w:eastAsia="zh-CN"/>
        </w:rPr>
        <w:t>少</w:t>
      </w:r>
      <w:r>
        <w:rPr>
          <w:rFonts w:hint="eastAsia" w:ascii="仿宋_GB2312" w:eastAsia="仿宋_GB2312"/>
          <w:sz w:val="32"/>
          <w:szCs w:val="32"/>
        </w:rPr>
        <w:t>。</w:t>
      </w:r>
    </w:p>
    <w:p>
      <w:pPr>
        <w:numPr>
          <w:ilvl w:val="0"/>
          <w:numId w:val="3"/>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f380c49e963b03ad4aad17c0e50df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380c49e963b03ad4aad17c0e50df47"/>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067DF9"/>
    <w:rsid w:val="006D698D"/>
    <w:rsid w:val="007969D9"/>
    <w:rsid w:val="007B014A"/>
    <w:rsid w:val="007E2A87"/>
    <w:rsid w:val="008D0681"/>
    <w:rsid w:val="00A00AE5"/>
    <w:rsid w:val="00C5571C"/>
    <w:rsid w:val="00D72339"/>
    <w:rsid w:val="014F22B3"/>
    <w:rsid w:val="03141E75"/>
    <w:rsid w:val="07B419D2"/>
    <w:rsid w:val="0A4377E7"/>
    <w:rsid w:val="0AFD79E6"/>
    <w:rsid w:val="0D0E3426"/>
    <w:rsid w:val="0D4F4BE7"/>
    <w:rsid w:val="0E3F5742"/>
    <w:rsid w:val="0FD13331"/>
    <w:rsid w:val="12AC3881"/>
    <w:rsid w:val="12FC282C"/>
    <w:rsid w:val="13B57FCB"/>
    <w:rsid w:val="16511628"/>
    <w:rsid w:val="170835D8"/>
    <w:rsid w:val="1B107D7F"/>
    <w:rsid w:val="1B236EFB"/>
    <w:rsid w:val="201D6D3F"/>
    <w:rsid w:val="23032F7A"/>
    <w:rsid w:val="248A1E14"/>
    <w:rsid w:val="282F59DC"/>
    <w:rsid w:val="2B8E3883"/>
    <w:rsid w:val="2C5F615A"/>
    <w:rsid w:val="2FA3146B"/>
    <w:rsid w:val="2FCA63EE"/>
    <w:rsid w:val="30806FF1"/>
    <w:rsid w:val="32BF1487"/>
    <w:rsid w:val="365A7206"/>
    <w:rsid w:val="3789269C"/>
    <w:rsid w:val="37F40219"/>
    <w:rsid w:val="3A4142BD"/>
    <w:rsid w:val="3BCE02C8"/>
    <w:rsid w:val="3D960F4A"/>
    <w:rsid w:val="3DCB3E49"/>
    <w:rsid w:val="41CE603D"/>
    <w:rsid w:val="41EA236C"/>
    <w:rsid w:val="42E26D8B"/>
    <w:rsid w:val="4595474B"/>
    <w:rsid w:val="46215D6B"/>
    <w:rsid w:val="49300BA2"/>
    <w:rsid w:val="49D67DF9"/>
    <w:rsid w:val="49DC2A26"/>
    <w:rsid w:val="4A31322A"/>
    <w:rsid w:val="4C9F6826"/>
    <w:rsid w:val="4D576B74"/>
    <w:rsid w:val="51D879E2"/>
    <w:rsid w:val="543F0EC5"/>
    <w:rsid w:val="58CE0629"/>
    <w:rsid w:val="5DC0578D"/>
    <w:rsid w:val="5F812244"/>
    <w:rsid w:val="63AF0C61"/>
    <w:rsid w:val="663F7267"/>
    <w:rsid w:val="726F4F33"/>
    <w:rsid w:val="72877E69"/>
    <w:rsid w:val="76274EFB"/>
    <w:rsid w:val="7A92631D"/>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1688</Words>
  <Characters>1758</Characters>
  <Lines>12</Lines>
  <Paragraphs>3</Paragraphs>
  <TotalTime>23</TotalTime>
  <ScaleCrop>false</ScaleCrop>
  <LinksUpToDate>false</LinksUpToDate>
  <CharactersWithSpaces>1761</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2024-04-26T08:42:39Z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88F8CF05BC5F4E88B5864603278B0E40</vt:lpwstr>
  </property>
</Properties>
</file>