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2"/>
        <w:keepNext w:val="0"/>
        <w:keepLines w:val="0"/>
        <w:framePr w:w="8328" w:h="4402" w:hRule="exact" w:wrap="around" w:vAnchor="page" w:hAnchor="page" w:x="1826" w:y="9954"/>
        <w:widowControl w:val="0"/>
        <w:pBdr>
          <w:top w:val="none" w:sz="0" w:space="0"/>
          <w:left w:val="none" w:sz="0" w:space="0"/>
          <w:bottom w:val="none" w:sz="0" w:space="0"/>
          <w:right w:val="none" w:sz="0" w:space="0"/>
        </w:pBdr>
        <w:shd w:val="clear" w:color="auto" w:fill="auto"/>
        <w:bidi w:val="0"/>
        <w:spacing w:before="0" w:after="0" w:line="643" w:lineRule="exact"/>
        <w:ind w:right="0"/>
        <w:jc w:val="both"/>
        <w:rPr>
          <w:rFonts w:hint="default" w:ascii="仿宋" w:hAnsi="仿宋" w:eastAsia="仿宋" w:cs="仿宋"/>
          <w:w w:val="96"/>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96"/>
          <w:position w:val="0"/>
          <w:sz w:val="36"/>
          <w:szCs w:val="36"/>
          <w:u w:val="single"/>
          <w:lang w:val="en-US" w:eastAsia="zh-CN"/>
        </w:rPr>
        <w:t>2022年事业股级以下年度考核奖金及经费</w:t>
      </w:r>
    </w:p>
    <w:p>
      <w:pPr>
        <w:pStyle w:val="12"/>
        <w:keepNext w:val="0"/>
        <w:keepLines w:val="0"/>
        <w:framePr w:w="8328" w:h="4402" w:hRule="exact" w:wrap="around" w:vAnchor="page" w:hAnchor="page" w:x="1826" w:y="9954"/>
        <w:widowControl w:val="0"/>
        <w:pBdr>
          <w:top w:val="none" w:sz="0" w:space="0"/>
          <w:left w:val="none" w:sz="0" w:space="0"/>
          <w:bottom w:val="none" w:sz="0" w:space="0"/>
          <w:right w:val="none" w:sz="0" w:space="0"/>
        </w:pBdr>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玉田县人力资源和社会保障局</w:t>
      </w:r>
    </w:p>
    <w:p>
      <w:pPr>
        <w:pStyle w:val="12"/>
        <w:keepNext w:val="0"/>
        <w:keepLines w:val="0"/>
        <w:framePr w:w="8328" w:h="4402" w:hRule="exact" w:wrap="around" w:vAnchor="page" w:hAnchor="page" w:x="1826" w:y="9954"/>
        <w:widowControl w:val="0"/>
        <w:pBdr>
          <w:top w:val="none" w:sz="0" w:space="0"/>
          <w:left w:val="none" w:sz="0" w:space="0"/>
          <w:bottom w:val="none" w:sz="0" w:space="0"/>
          <w:right w:val="none" w:sz="0" w:space="0"/>
        </w:pBdr>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王桂珠              </w:t>
      </w:r>
    </w:p>
    <w:p>
      <w:pPr>
        <w:pStyle w:val="12"/>
        <w:keepNext w:val="0"/>
        <w:keepLines w:val="0"/>
        <w:framePr w:w="8328" w:h="4402" w:hRule="exact" w:wrap="around" w:vAnchor="page" w:hAnchor="page" w:x="1826" w:y="9954"/>
        <w:widowControl w:val="0"/>
        <w:pBdr>
          <w:top w:val="none" w:sz="0" w:space="0"/>
          <w:left w:val="none" w:sz="0" w:space="0"/>
          <w:bottom w:val="none" w:sz="0" w:space="0"/>
          <w:right w:val="none" w:sz="0" w:space="0"/>
        </w:pBdr>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03156181543            </w:t>
      </w:r>
    </w:p>
    <w:p>
      <w:pPr>
        <w:pStyle w:val="12"/>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2"/>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ascii="仿宋_GB2312" w:eastAsia="仿宋_GB2312" w:cs="DengXian-Regular"/>
          <w:sz w:val="32"/>
          <w:szCs w:val="32"/>
        </w:rPr>
      </w:pPr>
      <w:bookmarkStart w:id="21" w:name="_Toc31309_WPSOffice_Level1"/>
      <w:r>
        <w:rPr>
          <w:rFonts w:hint="eastAsia" w:ascii="仿宋" w:hAnsi="仿宋" w:eastAsia="仿宋" w:cs="仿宋"/>
          <w:sz w:val="28"/>
          <w:szCs w:val="28"/>
          <w:lang w:val="en-US" w:eastAsia="zh-CN"/>
        </w:rPr>
        <w:t>1.</w:t>
      </w:r>
      <w:r>
        <w:rPr>
          <w:rFonts w:hint="eastAsia" w:ascii="仿宋_GB2312" w:eastAsia="仿宋_GB2312" w:cs="DengXian-Regular"/>
          <w:sz w:val="32"/>
          <w:szCs w:val="32"/>
        </w:rPr>
        <w:t>拟订全县人力资源和社会保障事业发展政策、规划，起草人力资源和社会保障地方性法规、规章草案并组织实施。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2.</w:t>
      </w:r>
      <w:r>
        <w:rPr>
          <w:rFonts w:hint="eastAsia" w:ascii="仿宋_GB2312" w:eastAsia="仿宋_GB2312" w:cs="DengXian-Regular"/>
          <w:sz w:val="32"/>
          <w:szCs w:val="32"/>
        </w:rPr>
        <w:t>拟订人力资源市场发展规划和人力资源服务业发展、人力资源流动政策，促进人力资源合理流动、有效配置。按照管理权限拟订人员（不含公务员）调配和特殊人员安置政策。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3.</w:t>
      </w:r>
      <w:r>
        <w:rPr>
          <w:rFonts w:hint="eastAsia" w:ascii="仿宋_GB2312" w:eastAsia="仿宋_GB2312" w:cs="DengXian-Regular"/>
          <w:sz w:val="32"/>
          <w:szCs w:val="32"/>
        </w:rPr>
        <w:t>负责促进就业创业工作，拟订统筹城乡的就业发展规划和促进就业创业扶持政策，完善公共就业服务体系，促进公平就业，统筹建立面向城乡劳动者的职业技能培训制度，拟订全县技工学校和职业培训机构发展规划和管理规则并组织实施。加强就业服务和就业培训，拟订就业援助制度，牵头拟订高校毕业生就业政策，按规定负责中专以上毕业生（非师范类）的就业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4.</w:t>
      </w:r>
      <w:r>
        <w:rPr>
          <w:rFonts w:hint="eastAsia" w:ascii="仿宋_GB2312" w:eastAsia="仿宋_GB2312" w:cs="DengXian-Regular"/>
          <w:sz w:val="32"/>
          <w:szCs w:val="32"/>
        </w:rPr>
        <w:t>统筹推进建立覆盖城乡的多层次社会保障体系。拟订养老、失业、工伤等社会保险及其补充保险政策和标准。贯彻落实养老保险省级统筹办法和全省统一的养老、失业、工伤保险关系转续办法和基金统筹办法，组织拟定养老、失业、工伤等社会保险及其补充保险基金的管理和监督制度，审核汇总相关社会保险基金预决算草案；拟订企业年金和职业年金政策。会同有关部门实施全民参保计划并建立全市统一的社会保险公共服务平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5.</w:t>
      </w:r>
      <w:r>
        <w:rPr>
          <w:rFonts w:hint="eastAsia" w:ascii="仿宋_GB2312" w:eastAsia="仿宋_GB2312" w:cs="DengXian-Regular"/>
          <w:sz w:val="32"/>
          <w:szCs w:val="32"/>
        </w:rPr>
        <w:t>负责就业、失业和相关社会保险基金预测预警和信息引导，拟订应对预案，实施预防、调节和控制，保持就业形势稳定和社会保险基金总体收支平衡。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6.</w:t>
      </w:r>
      <w:r>
        <w:rPr>
          <w:rFonts w:hint="eastAsia" w:ascii="仿宋_GB2312" w:eastAsia="仿宋_GB2312" w:cs="DengXian-Regular"/>
          <w:sz w:val="32"/>
          <w:szCs w:val="32"/>
        </w:rPr>
        <w:t>统筹拟订劳动、人事争议调解仲裁制度和劳动关系政策，完善劳动关系协调机制，拟订职工工作时间、休息休假和假期相关政策，拟订消除非法使用童工政策和女工、未成年工特殊劳动保护政策，组织实施劳动保障监察，协调劳动者维权工作，依法查处劳动保障违法案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7.</w:t>
      </w:r>
      <w:r>
        <w:rPr>
          <w:rFonts w:hint="eastAsia" w:ascii="仿宋_GB2312" w:eastAsia="仿宋_GB2312" w:cs="DengXian-Regular"/>
          <w:sz w:val="32"/>
          <w:szCs w:val="32"/>
        </w:rPr>
        <w:t>拟订人才工作有关目标，参与全县人才工作的指导、组织、协调和管理，承办有关人才工作。推动建立健全市场化、社会化的人才管理服务体系。负责人事考试工作。负责人才分类评价机制推进实施，牵头推进深化职称制度改革，制定专业技术人员管理、继续教育和博士后管理等政策，负责相关高层次专业技术人才选拔和培养，拟订吸引留学人员来唐（回国）工作或定居政策。组织拟订技能人才培养、评价、使用和激励制度。完善职业资格制度，健全职业技能多元化评价政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8.</w:t>
      </w:r>
      <w:r>
        <w:rPr>
          <w:rFonts w:hint="eastAsia" w:ascii="仿宋_GB2312" w:eastAsia="仿宋_GB2312" w:cs="DengXian-Regular"/>
          <w:sz w:val="32"/>
          <w:szCs w:val="32"/>
        </w:rPr>
        <w:t>会同有关部门指导事业单位人事制度改革，按照管理权限负责规范事业单位岗位设置、公开招聘、聘用合同等人事综合管理工作，拟订事业单位工作人员和机关工勤人员管理政策。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9.</w:t>
      </w:r>
      <w:r>
        <w:rPr>
          <w:rFonts w:hint="eastAsia" w:ascii="仿宋_GB2312" w:eastAsia="仿宋_GB2312" w:cs="DengXian-Regular"/>
          <w:sz w:val="32"/>
          <w:szCs w:val="32"/>
        </w:rPr>
        <w:t>负责全县评比达标表彰和创建示范工作的综合管理、审核备案、监督检查。会同有关部门拟定全县表彰奖励办法（不含中国共产党党内表彰、公务员奖励），组织指导县直各部门的评比达标表彰活动。负责全县功勋荣誉表彰奖励获得者管理，拟订享受待遇的相关政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10.</w:t>
      </w:r>
      <w:r>
        <w:rPr>
          <w:rFonts w:hint="eastAsia" w:ascii="仿宋_GB2312" w:eastAsia="仿宋_GB2312" w:cs="DengXian-Regular"/>
          <w:sz w:val="32"/>
          <w:szCs w:val="32"/>
        </w:rPr>
        <w:t>会同有关部门拟订全县事业单位人员工资收入分配政策。建立全县企事业单位人员工资决定、正常增长和支付保障机制。拟订全县企事业单位人员福利和离退休政策，并负责组织实施和监督检查。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11.</w:t>
      </w:r>
      <w:r>
        <w:rPr>
          <w:rFonts w:hint="eastAsia" w:ascii="仿宋_GB2312" w:eastAsia="仿宋_GB2312" w:cs="DengXian-Regular"/>
          <w:sz w:val="32"/>
          <w:szCs w:val="32"/>
        </w:rPr>
        <w:t>拟订农民工工作综合性政策和规划，推动相关政策的落实，协调解决重点难点问题，维护农民工合法权益。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s="DengXian-Regular"/>
          <w:sz w:val="32"/>
          <w:szCs w:val="32"/>
        </w:rPr>
      </w:pPr>
      <w:r>
        <w:rPr>
          <w:rFonts w:hint="eastAsia" w:ascii="仿宋_GB2312" w:eastAsia="仿宋_GB2312" w:cs="DengXian-Regular"/>
          <w:sz w:val="32"/>
          <w:szCs w:val="32"/>
          <w:lang w:val="en-US" w:eastAsia="zh-CN"/>
        </w:rPr>
        <w:t>12.</w:t>
      </w:r>
      <w:r>
        <w:rPr>
          <w:rFonts w:hint="eastAsia" w:ascii="仿宋_GB2312" w:eastAsia="仿宋_GB2312" w:cs="DengXian-Regular"/>
          <w:sz w:val="32"/>
          <w:szCs w:val="32"/>
        </w:rPr>
        <w:t>负责机关及所属单位国际交流与合作。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 w:cs="仿宋"/>
          <w:b/>
          <w:bCs/>
          <w:lang w:eastAsia="zh-CN"/>
        </w:rPr>
      </w:pPr>
      <w:r>
        <w:rPr>
          <w:rFonts w:hint="eastAsia" w:ascii="仿宋_GB2312" w:eastAsia="仿宋_GB2312" w:cs="DengXian-Regular"/>
          <w:sz w:val="32"/>
          <w:szCs w:val="32"/>
          <w:lang w:val="en-US" w:eastAsia="zh-CN"/>
        </w:rPr>
        <w:t>13.</w:t>
      </w:r>
      <w:r>
        <w:rPr>
          <w:rFonts w:hint="eastAsia" w:ascii="仿宋_GB2312" w:eastAsia="仿宋_GB2312" w:cs="DengXian-Regular"/>
          <w:sz w:val="32"/>
          <w:szCs w:val="32"/>
        </w:rPr>
        <w:t>完成县委、县政府交办的其他事项。</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val="en-US" w:eastAsia="zh-CN"/>
        </w:rPr>
        <w:t>2022年事业股级以下年度考核奖金及经费。</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keepNext w:val="0"/>
        <w:keepLines w:val="0"/>
        <w:pageBreakBefore w:val="0"/>
        <w:widowControl w:val="0"/>
        <w:numPr>
          <w:ilvl w:val="0"/>
          <w:numId w:val="0"/>
        </w:numPr>
        <w:kinsoku/>
        <w:wordWrap/>
        <w:overflowPunct/>
        <w:topLinePunct w:val="0"/>
        <w:autoSpaceDE/>
        <w:autoSpaceDN/>
        <w:bidi w:val="0"/>
        <w:spacing w:line="560" w:lineRule="exact"/>
        <w:ind w:firstLine="600" w:firstLineChars="200"/>
        <w:textAlignment w:val="auto"/>
        <w:rPr>
          <w:rFonts w:hint="eastAsia" w:ascii="仿宋" w:hAnsi="仿宋" w:eastAsia="仿宋" w:cs="仿宋"/>
        </w:rPr>
      </w:pPr>
      <w:bookmarkStart w:id="25" w:name="_Toc22655_WPSOffice_Level1"/>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keepNext w:val="0"/>
        <w:keepLines w:val="0"/>
        <w:pageBreakBefore w:val="0"/>
        <w:widowControl w:val="0"/>
        <w:numPr>
          <w:ilvl w:val="0"/>
          <w:numId w:val="0"/>
        </w:numPr>
        <w:kinsoku/>
        <w:wordWrap/>
        <w:overflowPunct/>
        <w:topLinePunct w:val="0"/>
        <w:autoSpaceDE/>
        <w:autoSpaceDN/>
        <w:bidi w:val="0"/>
        <w:spacing w:line="560" w:lineRule="exact"/>
        <w:ind w:firstLine="300" w:firstLineChars="100"/>
        <w:textAlignment w:val="auto"/>
        <w:rPr>
          <w:rFonts w:hint="eastAsia" w:ascii="仿宋" w:hAnsi="仿宋" w:eastAsia="仿宋" w:cs="仿宋"/>
        </w:rPr>
      </w:pPr>
      <w:bookmarkStart w:id="26"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6"/>
    </w:p>
    <w:p>
      <w:pPr>
        <w:keepNext w:val="0"/>
        <w:keepLines w:val="0"/>
        <w:pageBreakBefore w:val="0"/>
        <w:widowControl w:val="0"/>
        <w:numPr>
          <w:ilvl w:val="0"/>
          <w:numId w:val="0"/>
        </w:numPr>
        <w:kinsoku/>
        <w:wordWrap/>
        <w:overflowPunct/>
        <w:topLinePunct w:val="0"/>
        <w:autoSpaceDE/>
        <w:autoSpaceDN/>
        <w:bidi w:val="0"/>
        <w:spacing w:line="560" w:lineRule="exact"/>
        <w:ind w:firstLine="60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keepNext w:val="0"/>
        <w:keepLines w:val="0"/>
        <w:pageBreakBefore w:val="0"/>
        <w:widowControl w:val="0"/>
        <w:numPr>
          <w:ilvl w:val="0"/>
          <w:numId w:val="0"/>
        </w:numPr>
        <w:kinsoku/>
        <w:wordWrap/>
        <w:overflowPunct/>
        <w:topLinePunct w:val="0"/>
        <w:autoSpaceDE/>
        <w:autoSpaceDN/>
        <w:bidi w:val="0"/>
        <w:spacing w:line="560" w:lineRule="exact"/>
        <w:ind w:firstLine="600" w:firstLineChars="200"/>
        <w:textAlignment w:val="auto"/>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事业单位股级以下工作人员年度考核</w:t>
      </w:r>
      <w:r>
        <w:rPr>
          <w:rFonts w:hint="eastAsia" w:ascii="仿宋" w:hAnsi="仿宋" w:eastAsia="仿宋" w:cs="仿宋"/>
        </w:rPr>
        <w:t>，从项目的经济效益、社会效益的评价无法定量估计。</w:t>
      </w:r>
    </w:p>
    <w:p>
      <w:pPr>
        <w:keepNext w:val="0"/>
        <w:keepLines w:val="0"/>
        <w:pageBreakBefore w:val="0"/>
        <w:widowControl w:val="0"/>
        <w:numPr>
          <w:ilvl w:val="0"/>
          <w:numId w:val="0"/>
        </w:numPr>
        <w:kinsoku/>
        <w:wordWrap/>
        <w:overflowPunct/>
        <w:topLinePunct w:val="0"/>
        <w:autoSpaceDE/>
        <w:autoSpaceDN/>
        <w:bidi w:val="0"/>
        <w:spacing w:line="560" w:lineRule="exact"/>
        <w:ind w:firstLine="600" w:firstLineChars="200"/>
        <w:textAlignment w:val="auto"/>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5"/>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keepNext w:val="0"/>
        <w:keepLines w:val="0"/>
        <w:pageBreakBefore w:val="0"/>
        <w:widowControl w:val="0"/>
        <w:kinsoku/>
        <w:wordWrap/>
        <w:overflowPunct/>
        <w:topLinePunct w:val="0"/>
        <w:autoSpaceDE/>
        <w:autoSpaceDN/>
        <w:bidi w:val="0"/>
        <w:spacing w:line="560" w:lineRule="exact"/>
        <w:ind w:firstLine="600" w:firstLineChars="200"/>
        <w:textAlignment w:val="auto"/>
        <w:outlineLvl w:val="0"/>
        <w:rPr>
          <w:rFonts w:hint="eastAsia" w:ascii="仿宋" w:hAnsi="仿宋" w:eastAsia="仿宋" w:cs="仿宋"/>
          <w:lang w:eastAsia="zh-CN"/>
        </w:rPr>
      </w:pPr>
      <w:bookmarkStart w:id="28" w:name="_Toc22094_WPSOffice_Level2"/>
      <w:bookmarkStart w:id="29" w:name="_Toc14430_WPSOffice_Level1"/>
      <w:r>
        <w:rPr>
          <w:rFonts w:hint="eastAsia" w:ascii="仿宋" w:hAnsi="仿宋" w:eastAsia="仿宋" w:cs="仿宋"/>
          <w:lang w:eastAsia="zh-CN"/>
        </w:rPr>
        <w:t>坚持以习近平新时代中国特色社会主义思想为指导，贯彻落实党的十九大、十九届二中、三中、四中全会精神，坚持客观公正、民主公平、群众公认和注重工作实绩的原则，按照岗位职责和所承担的工作任务，对工作人员的年度表现进行全面考核，把工作绩效考核作为考核的重点，并依据考核结果实施奖惩，以激励广大工作人员锐意进取、勤奋工作、干事创业，进一步提高工作质量和工作效率。</w:t>
      </w:r>
    </w:p>
    <w:p>
      <w:pPr>
        <w:keepNext w:val="0"/>
        <w:keepLines w:val="0"/>
        <w:pageBreakBefore w:val="0"/>
        <w:widowControl w:val="0"/>
        <w:numPr>
          <w:ilvl w:val="0"/>
          <w:numId w:val="3"/>
        </w:numPr>
        <w:kinsoku/>
        <w:wordWrap/>
        <w:overflowPunct/>
        <w:topLinePunct w:val="0"/>
        <w:autoSpaceDE/>
        <w:autoSpaceDN/>
        <w:bidi w:val="0"/>
        <w:spacing w:line="560" w:lineRule="exact"/>
        <w:ind w:firstLine="600" w:firstLineChars="200"/>
        <w:textAlignment w:val="auto"/>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keepNext w:val="0"/>
        <w:keepLines w:val="0"/>
        <w:pageBreakBefore w:val="0"/>
        <w:widowControl w:val="0"/>
        <w:kinsoku/>
        <w:wordWrap/>
        <w:overflowPunct/>
        <w:topLinePunct w:val="0"/>
        <w:autoSpaceDE/>
        <w:autoSpaceDN/>
        <w:bidi w:val="0"/>
        <w:spacing w:line="560" w:lineRule="exact"/>
        <w:ind w:firstLine="600" w:firstLineChars="200"/>
        <w:textAlignment w:val="auto"/>
        <w:rPr>
          <w:rFonts w:hint="eastAsia" w:ascii="仿宋" w:hAnsi="仿宋" w:eastAsia="仿宋" w:cs="仿宋"/>
          <w:lang w:eastAsia="zh-CN"/>
        </w:rPr>
      </w:pPr>
      <w:r>
        <w:rPr>
          <w:rFonts w:hint="eastAsia" w:ascii="仿宋" w:hAnsi="仿宋" w:eastAsia="仿宋" w:cs="仿宋"/>
          <w:lang w:eastAsia="zh-CN"/>
        </w:rPr>
        <w:t>完成202</w:t>
      </w:r>
      <w:r>
        <w:rPr>
          <w:rFonts w:hint="eastAsia" w:ascii="仿宋" w:hAnsi="仿宋" w:eastAsia="仿宋" w:cs="仿宋"/>
          <w:lang w:val="en-US" w:eastAsia="zh-CN"/>
        </w:rPr>
        <w:t>2年</w:t>
      </w:r>
      <w:r>
        <w:rPr>
          <w:rFonts w:hint="eastAsia" w:ascii="仿宋" w:hAnsi="仿宋" w:eastAsia="仿宋" w:cs="仿宋"/>
          <w:lang w:eastAsia="zh-CN"/>
        </w:rPr>
        <w:t>事业股级以下工作人员年度考核并完成考核优秀人员奖励发放工作。</w:t>
      </w:r>
    </w:p>
    <w:p>
      <w:pPr>
        <w:keepNext w:val="0"/>
        <w:keepLines w:val="0"/>
        <w:pageBreakBefore w:val="0"/>
        <w:widowControl w:val="0"/>
        <w:kinsoku/>
        <w:wordWrap/>
        <w:overflowPunct/>
        <w:topLinePunct w:val="0"/>
        <w:autoSpaceDE/>
        <w:autoSpaceDN/>
        <w:bidi w:val="0"/>
        <w:spacing w:line="560" w:lineRule="exact"/>
        <w:ind w:firstLine="600" w:firstLineChars="200"/>
        <w:textAlignment w:val="auto"/>
        <w:outlineLvl w:val="0"/>
        <w:rPr>
          <w:rFonts w:hint="eastAsia" w:ascii="仿宋" w:hAnsi="仿宋" w:eastAsia="仿宋" w:cs="仿宋"/>
          <w:lang w:eastAsia="zh-CN"/>
        </w:rPr>
      </w:pPr>
      <w:bookmarkStart w:id="30" w:name="_Toc18801_WPSOffice_Level2"/>
      <w:r>
        <w:rPr>
          <w:rFonts w:hint="eastAsia" w:ascii="仿宋" w:hAnsi="仿宋" w:eastAsia="仿宋" w:cs="仿宋"/>
          <w:lang w:eastAsia="zh-CN"/>
        </w:rPr>
        <w:t>（三）项目分项绩效目标</w:t>
      </w:r>
      <w:bookmarkEnd w:id="3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0"/>
        <w:rPr>
          <w:rFonts w:hint="eastAsia" w:ascii="仿宋" w:hAnsi="仿宋" w:eastAsia="仿宋" w:cs="仿宋"/>
          <w:lang w:eastAsia="zh-CN"/>
        </w:rPr>
      </w:pPr>
      <w:r>
        <w:rPr>
          <w:rFonts w:hint="eastAsia" w:ascii="仿宋" w:hAnsi="仿宋" w:eastAsia="仿宋" w:cs="仿宋"/>
          <w:lang w:val="en-US" w:eastAsia="zh-CN"/>
        </w:rPr>
        <w:t>1.</w:t>
      </w:r>
      <w:r>
        <w:rPr>
          <w:rFonts w:hint="eastAsia" w:ascii="仿宋" w:hAnsi="仿宋" w:eastAsia="仿宋" w:cs="仿宋"/>
          <w:lang w:eastAsia="zh-CN"/>
        </w:rPr>
        <w:t>按照公开、公平、公正的原则，通过组织测评会、个人述职、领导评鉴等程序，认真组织年度事业单位股级及以下工作人员的考核工作。</w:t>
      </w:r>
    </w:p>
    <w:p>
      <w:pPr>
        <w:numPr>
          <w:ilvl w:val="0"/>
          <w:numId w:val="0"/>
        </w:numPr>
        <w:spacing w:line="600" w:lineRule="exact"/>
        <w:ind w:firstLine="600" w:firstLineChars="200"/>
        <w:rPr>
          <w:rFonts w:hint="eastAsia" w:ascii="仿宋" w:hAnsi="仿宋" w:eastAsia="仿宋" w:cs="仿宋"/>
          <w:lang w:val="en-US" w:eastAsia="zh-CN"/>
        </w:rPr>
      </w:pPr>
      <w:r>
        <w:rPr>
          <w:rFonts w:hint="eastAsia" w:ascii="仿宋" w:hAnsi="仿宋" w:eastAsia="仿宋" w:cs="仿宋"/>
          <w:lang w:val="en-US" w:eastAsia="zh-CN"/>
        </w:rPr>
        <w:t>2.在年度考核的基础上，给予考核优秀工作人员嘉奖、记功奖励，按照考核奖励规定，对拟奖励人员进行公示，并及时发放奖励金。</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29"/>
    </w:p>
    <w:p>
      <w:pPr>
        <w:spacing w:line="600" w:lineRule="exact"/>
        <w:ind w:firstLine="600" w:firstLineChars="200"/>
        <w:outlineLvl w:val="0"/>
        <w:rPr>
          <w:rFonts w:hint="eastAsia" w:ascii="仿宋" w:hAnsi="仿宋" w:eastAsia="仿宋" w:cs="仿宋"/>
        </w:rPr>
      </w:pPr>
      <w:bookmarkStart w:id="31" w:name="_Toc4550_WPSOffice_Level2"/>
      <w:r>
        <w:rPr>
          <w:rFonts w:hint="eastAsia" w:ascii="仿宋" w:hAnsi="仿宋" w:eastAsia="仿宋" w:cs="仿宋"/>
        </w:rPr>
        <w:t>（一）项目决策情况。</w:t>
      </w:r>
      <w:bookmarkEnd w:id="31"/>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依据《事业单位人事管理条例》（国务院令第</w:t>
      </w:r>
      <w:r>
        <w:rPr>
          <w:rFonts w:hint="eastAsia" w:ascii="仿宋" w:hAnsi="仿宋" w:eastAsia="仿宋" w:cs="仿宋"/>
          <w:sz w:val="32"/>
          <w:szCs w:val="32"/>
          <w:lang w:val="en-US" w:eastAsia="zh-CN"/>
        </w:rPr>
        <w:t>652号</w:t>
      </w:r>
      <w:r>
        <w:rPr>
          <w:rFonts w:hint="eastAsia" w:ascii="仿宋" w:hAnsi="仿宋" w:eastAsia="仿宋" w:cs="仿宋"/>
          <w:sz w:val="32"/>
          <w:szCs w:val="32"/>
          <w:lang w:eastAsia="zh-CN"/>
        </w:rPr>
        <w:t>）、《事业单位工作人员考核暂行规定》（人核培发〔1995〕153号）和唐山市年度考核工作要求设立此项目。</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15分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rPr>
      </w:pPr>
      <w:bookmarkStart w:id="32" w:name="_Toc21876_WPSOffice_Level2"/>
      <w:r>
        <w:rPr>
          <w:rFonts w:hint="eastAsia" w:ascii="仿宋" w:hAnsi="仿宋" w:eastAsia="仿宋" w:cs="仿宋"/>
        </w:rPr>
        <w:t>（二）项目过程情况。</w:t>
      </w:r>
      <w:bookmarkEnd w:id="32"/>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eastAsia="zh-CN"/>
        </w:rPr>
      </w:pPr>
      <w:r>
        <w:rPr>
          <w:rFonts w:hint="eastAsia" w:ascii="仿宋" w:hAnsi="仿宋" w:eastAsia="仿宋" w:cs="仿宋"/>
          <w:color w:val="000000"/>
          <w:kern w:val="0"/>
          <w:sz w:val="32"/>
          <w:szCs w:val="32"/>
          <w:lang w:val="en-US" w:eastAsia="zh-CN" w:bidi="ar-SA"/>
        </w:rPr>
        <w:t>按照公开、公平、公正的原则，通过组织测评会、个人述职、领导评鉴等程序，认真组织事业单位股级及以下工作人员的考核工作。2.对考核结果进行公示，</w:t>
      </w:r>
      <w:r>
        <w:rPr>
          <w:rFonts w:hint="eastAsia" w:ascii="仿宋" w:hAnsi="仿宋" w:eastAsia="仿宋" w:cs="仿宋"/>
          <w:lang w:val="en-US" w:eastAsia="zh-CN"/>
        </w:rPr>
        <w:t>公示时间不少于5个工作日。3.对考核优秀及获得嘉奖人员进行奖励。</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w:t>
      </w:r>
      <w:r>
        <w:rPr>
          <w:rFonts w:hint="eastAsia" w:ascii="仿宋" w:hAnsi="仿宋" w:eastAsia="仿宋" w:cs="仿宋"/>
          <w:sz w:val="32"/>
          <w:szCs w:val="32"/>
          <w:lang w:val="en-US" w:eastAsia="zh-CN"/>
        </w:rPr>
        <w:t>29分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17分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12分</w:t>
      </w:r>
      <w:r>
        <w:rPr>
          <w:rFonts w:hint="eastAsia" w:ascii="仿宋" w:hAnsi="仿宋" w:eastAsia="仿宋" w:cs="仿宋"/>
          <w:sz w:val="32"/>
          <w:szCs w:val="32"/>
        </w:rPr>
        <w:t>。已制定相应的财务和业务管理制度；财务和业务管理制度合法、合规、完整。遵守相关法律法规和相关管理规定；项目调整及支出调整手续完备；项目资料齐全并及时归档；项目实施的人员条件、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工作人员年度考核结果，作为调整工作人员岗位、晋升薪级和发放绩效工资以及实施奖惩、培训、续聘、解聘的依据。</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19分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本年度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94</w:t>
      </w:r>
      <w:r>
        <w:rPr>
          <w:rFonts w:hint="eastAsia" w:ascii="仿宋" w:hAnsi="仿宋" w:eastAsia="仿宋" w:cs="仿宋"/>
          <w:sz w:val="32"/>
          <w:szCs w:val="32"/>
        </w:rPr>
        <w:t>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流程；其次，要确定绩效目标与实际工作的联系，绩效目标的设定既要能与实际工作紧密联系，又要能清晰反映预算资金的预期产出和效果。绩效目标应当从数量、质量、成本、时效以及经济效益、社会效益、生态效益、可持续影响、满意度等方面进行细化，尽量进行定量表述；第三，有意识收集相应指标历史数据、行业数据作为绩效目标考评的基础；最后，预算执行结束后，要及时对</w:t>
      </w:r>
      <w:r>
        <w:rPr>
          <w:rFonts w:hint="eastAsia" w:ascii="仿宋" w:hAnsi="仿宋" w:eastAsia="仿宋" w:cs="仿宋"/>
          <w:sz w:val="32"/>
          <w:szCs w:val="32"/>
          <w:lang w:eastAsia="zh-CN"/>
        </w:rPr>
        <w:t>项目进行评价总结，为今后的项目提供经验。</w:t>
      </w: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p>
      <w:pPr>
        <w:spacing w:line="600" w:lineRule="exact"/>
        <w:ind w:firstLine="640" w:firstLineChars="200"/>
        <w:rPr>
          <w:rFonts w:hint="eastAsia" w:ascii="仿宋" w:hAnsi="仿宋" w:eastAsia="仿宋" w:cs="仿宋"/>
          <w:sz w:val="32"/>
          <w:szCs w:val="32"/>
          <w:lang w:eastAsia="zh-CN"/>
        </w:rPr>
      </w:pP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DengXian-Regular">
    <w:altName w:val="宋体"/>
    <w:panose1 w:val="00000000000000000000"/>
    <w:charset w:val="86"/>
    <w:family w:val="auto"/>
    <w:pitch w:val="default"/>
    <w:sig w:usb0="00000000" w:usb1="00000000" w:usb2="0000001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14351EF"/>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0"/>
    <w:pPr>
      <w:spacing w:after="120" w:afterLines="0"/>
    </w:pPr>
    <w:rPr>
      <w:rFonts w:ascii="Calibri" w:hAnsi="Calibri" w:eastAsia="仿宋_GB2312" w:cs="Times New Roman"/>
      <w:sz w:val="32"/>
      <w:szCs w:val="24"/>
    </w:rPr>
  </w:style>
  <w:style w:type="paragraph" w:styleId="3">
    <w:name w:val="footer"/>
    <w:basedOn w:val="1"/>
    <w:next w:val="4"/>
    <w:link w:val="9"/>
    <w:qFormat/>
    <w:uiPriority w:val="99"/>
    <w:pPr>
      <w:tabs>
        <w:tab w:val="center" w:pos="4153"/>
        <w:tab w:val="right" w:pos="8306"/>
      </w:tabs>
      <w:snapToGrid w:val="0"/>
      <w:jc w:val="left"/>
    </w:pPr>
    <w:rPr>
      <w:sz w:val="18"/>
      <w:szCs w:val="18"/>
    </w:rPr>
  </w:style>
  <w:style w:type="paragraph" w:styleId="4">
    <w:name w:val="index 5"/>
    <w:basedOn w:val="1"/>
    <w:next w:val="1"/>
    <w:qFormat/>
    <w:uiPriority w:val="0"/>
    <w:pPr>
      <w:ind w:left="1680"/>
    </w:pPr>
  </w:style>
  <w:style w:type="paragraph" w:styleId="5">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Header Char"/>
    <w:basedOn w:val="7"/>
    <w:link w:val="5"/>
    <w:qFormat/>
    <w:locked/>
    <w:uiPriority w:val="99"/>
    <w:rPr>
      <w:rFonts w:ascii="Times New Roman" w:hAnsi="Times New Roman" w:eastAsia="仿宋_GB2312" w:cs="Times New Roman"/>
      <w:sz w:val="18"/>
      <w:szCs w:val="18"/>
    </w:rPr>
  </w:style>
  <w:style w:type="character" w:customStyle="1" w:styleId="9">
    <w:name w:val="Footer Char"/>
    <w:basedOn w:val="7"/>
    <w:link w:val="3"/>
    <w:qFormat/>
    <w:locked/>
    <w:uiPriority w:val="99"/>
    <w:rPr>
      <w:rFonts w:ascii="Times New Roman" w:hAnsi="Times New Roman" w:eastAsia="仿宋_GB2312" w:cs="Times New Roman"/>
      <w:sz w:val="18"/>
      <w:szCs w:val="18"/>
    </w:rPr>
  </w:style>
  <w:style w:type="paragraph" w:customStyle="1" w:styleId="10">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11">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2">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3">
    <w:name w:val="WPSOffice手动目录 1"/>
    <w:qFormat/>
    <w:uiPriority w:val="0"/>
    <w:pPr>
      <w:ind w:leftChars="0"/>
    </w:pPr>
    <w:rPr>
      <w:rFonts w:ascii="Calibri" w:hAnsi="Calibri" w:eastAsia="宋体" w:cs="Times New Roman"/>
      <w:sz w:val="20"/>
      <w:szCs w:val="20"/>
    </w:rPr>
  </w:style>
  <w:style w:type="paragraph" w:customStyle="1" w:styleId="14">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0</TotalTime>
  <ScaleCrop>false</ScaleCrop>
  <LinksUpToDate>false</LinksUpToDate>
  <CharactersWithSpaces>2761</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dcterms:modified xsi:type="dcterms:W3CDTF">2024-04-25T11:06:20Z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1CC869C89F484781849D447A0B49F9E9_13</vt:lpwstr>
  </property>
</Properties>
</file>