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医疗保障局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医疗救助县级补助资金</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进一步提高参保职工、居民医疗保障水平，不断扩大城乡医疗保险覆盖范围,城乡居民统筹工作稳步推进；继续加强各项基金管理，规范医患双方医疗服务行为，合理控制基金支出，确保基金收支平衡、略有结余。切实做好202</w:t>
      </w:r>
      <w:r>
        <w:rPr>
          <w:rFonts w:hint="eastAsia" w:ascii="仿宋_GB2312" w:eastAsia="仿宋_GB2312"/>
          <w:sz w:val="32"/>
          <w:szCs w:val="32"/>
          <w:lang w:val="en-US" w:eastAsia="zh-CN"/>
        </w:rPr>
        <w:t>3</w:t>
      </w:r>
      <w:r>
        <w:rPr>
          <w:rFonts w:hint="eastAsia" w:ascii="仿宋_GB2312" w:eastAsia="仿宋_GB2312"/>
          <w:sz w:val="32"/>
          <w:szCs w:val="32"/>
        </w:rPr>
        <w:t>年医疗救助工作，提高医疗救助资金保障能力，保障困难群众公平享有基本的医疗权益。完善城镇职工医保的筹资和待遇动态调整机制，完善统一的城乡居民基本医疗保险制度和大病保险制度，建立健全覆盖城乡的多层次医疗保障体系，确保医保资金稳定可持续、合理使用、安全可控。推进医疗、医保、医药、医价“四医联动”改革，更好保障人民群众就医需求、减轻医药费用负担。</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医疗救助县级补助资金项目资金预算数</w:t>
      </w:r>
      <w:r>
        <w:rPr>
          <w:rFonts w:hint="eastAsia" w:ascii="仿宋_GB2312" w:eastAsia="仿宋_GB2312"/>
          <w:sz w:val="32"/>
          <w:szCs w:val="32"/>
          <w:lang w:val="en-US" w:eastAsia="zh-CN"/>
        </w:rPr>
        <w:t>2500</w:t>
      </w:r>
      <w:r>
        <w:rPr>
          <w:rFonts w:hint="eastAsia" w:ascii="仿宋_GB2312" w:eastAsia="仿宋_GB2312"/>
          <w:sz w:val="32"/>
          <w:szCs w:val="32"/>
        </w:rPr>
        <w:t>万元，资金来源于财政拨款</w:t>
      </w:r>
      <w:r>
        <w:rPr>
          <w:rFonts w:hint="eastAsia" w:ascii="仿宋_GB2312" w:eastAsia="仿宋_GB2312"/>
          <w:sz w:val="32"/>
          <w:szCs w:val="32"/>
          <w:lang w:eastAsia="zh-CN"/>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（二）项目绩效目标。扩大城乡医疗保险覆盖范围,城乡居民统筹工作稳步推进；继续加强各项基金管理，规范医患双方医疗服务行为，合理控制基金支出，确保基金收支平衡</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830" w:leftChars="0" w:firstLine="640" w:firstLineChars="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为今后项目实施方向及管理方式改进提供指导，逐步树立以结果为导向的预算观。</w:t>
      </w:r>
      <w:r>
        <w:rPr>
          <w:rFonts w:hint="eastAsia" w:ascii="仿宋_GB2312" w:eastAsia="仿宋_GB2312"/>
          <w:sz w:val="32"/>
          <w:szCs w:val="32"/>
          <w:lang w:eastAsia="zh-CN"/>
        </w:rPr>
        <w:t>以单位办公经费为对象。</w:t>
      </w:r>
    </w:p>
    <w:p>
      <w:pPr>
        <w:numPr>
          <w:ilvl w:val="0"/>
          <w:numId w:val="0"/>
        </w:numPr>
        <w:spacing w:line="600" w:lineRule="exact"/>
        <w:ind w:left="1470" w:leftChars="0"/>
        <w:rPr>
          <w:rFonts w:hint="eastAsia"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（三）绩效评价原则、评价指标体系（附表说明）、评价方法、评价标准等。评价原则：科学规范、公开公正、绩效相关。</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评价指标体系：产出指标、效益指标、满意度指标。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评价方法：坚持实事求是，公平公开的原则。</w:t>
      </w:r>
    </w:p>
    <w:p>
      <w:pPr>
        <w:spacing w:line="600" w:lineRule="exact"/>
        <w:ind w:firstLine="640" w:firstLineChars="200"/>
        <w:rPr>
          <w:rFonts w:ascii="仿宋_GB2312" w:eastAsia="仿宋_GB2312"/>
          <w:sz w:val="32"/>
          <w:szCs w:val="32"/>
        </w:rPr>
      </w:pPr>
      <w:r>
        <w:rPr>
          <w:rFonts w:ascii="仿宋_GB2312" w:eastAsia="仿宋_GB2312"/>
          <w:sz w:val="32"/>
          <w:szCs w:val="32"/>
        </w:rPr>
        <w:t>评价标准</w:t>
      </w:r>
      <w:r>
        <w:rPr>
          <w:rFonts w:hint="eastAsia" w:ascii="仿宋_GB2312" w:eastAsia="仿宋_GB2312"/>
          <w:sz w:val="32"/>
          <w:szCs w:val="32"/>
        </w:rPr>
        <w:t>：</w:t>
      </w:r>
      <w:r>
        <w:rPr>
          <w:rFonts w:ascii="仿宋_GB2312" w:eastAsia="仿宋_GB2312"/>
          <w:sz w:val="32"/>
          <w:szCs w:val="32"/>
        </w:rPr>
        <w:t>科学规范</w:t>
      </w:r>
      <w:r>
        <w:rPr>
          <w:rFonts w:hint="eastAsia" w:ascii="仿宋_GB2312" w:eastAsia="仿宋_GB2312"/>
          <w:sz w:val="32"/>
          <w:szCs w:val="32"/>
        </w:rPr>
        <w:t>，</w:t>
      </w:r>
      <w:r>
        <w:rPr>
          <w:rFonts w:ascii="仿宋_GB2312" w:eastAsia="仿宋_GB2312"/>
          <w:sz w:val="32"/>
          <w:szCs w:val="32"/>
        </w:rPr>
        <w:t>绩效相关</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我们对本项目的总体评价是:项目科学合理，项目管理规范，项目监管到位，项目完成较好，项目完成质量较高，运行保障有力，具有良好的社会效益，对</w:t>
      </w:r>
      <w:r>
        <w:rPr>
          <w:rFonts w:hint="eastAsia" w:ascii="仿宋" w:hAnsi="仿宋" w:eastAsia="仿宋"/>
          <w:sz w:val="32"/>
          <w:szCs w:val="32"/>
          <w:lang w:eastAsia="zh-CN"/>
        </w:rPr>
        <w:t>医疗保障工作</w:t>
      </w:r>
      <w:r>
        <w:rPr>
          <w:rFonts w:hint="eastAsia" w:ascii="仿宋" w:hAnsi="仿宋" w:eastAsia="仿宋"/>
          <w:sz w:val="32"/>
          <w:szCs w:val="32"/>
        </w:rPr>
        <w:t>有积极的推动作用，根据项目支出绩效自评表，得分100分，财政支出绩效为“优。</w:t>
      </w:r>
    </w:p>
    <w:p>
      <w:pPr>
        <w:numPr>
          <w:ilvl w:val="0"/>
          <w:numId w:val="0"/>
        </w:numPr>
        <w:spacing w:line="600" w:lineRule="exact"/>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（一）项目决策情况。根据本办日常工作开展对单位在全县</w:t>
      </w:r>
      <w:r>
        <w:rPr>
          <w:rFonts w:hint="eastAsia" w:ascii="仿宋_GB2312" w:eastAsia="仿宋_GB2312"/>
          <w:sz w:val="32"/>
          <w:szCs w:val="32"/>
          <w:lang w:eastAsia="zh-CN"/>
        </w:rPr>
        <w:t>医疗保障</w:t>
      </w:r>
      <w:r>
        <w:rPr>
          <w:rFonts w:hint="eastAsia" w:ascii="仿宋_GB2312" w:eastAsia="仿宋_GB2312"/>
          <w:sz w:val="32"/>
          <w:szCs w:val="32"/>
        </w:rPr>
        <w:t>工作中依据工作需要对相关费用有效支付，确保各项工作顺利完成。</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（二）项目过程情况。1、建立和完善</w:t>
      </w:r>
      <w:r>
        <w:rPr>
          <w:rFonts w:hint="eastAsia" w:ascii="仿宋_GB2312" w:eastAsia="仿宋_GB2312"/>
          <w:sz w:val="32"/>
          <w:szCs w:val="32"/>
          <w:lang w:eastAsia="zh-CN"/>
        </w:rPr>
        <w:t>医疗保障</w:t>
      </w:r>
      <w:r>
        <w:rPr>
          <w:rFonts w:hint="eastAsia" w:ascii="仿宋_GB2312" w:eastAsia="仿宋_GB2312"/>
          <w:sz w:val="32"/>
          <w:szCs w:val="32"/>
        </w:rPr>
        <w:t>资金管理使用的规章制度，严格执行上级有关办公经费管理规定，强化资金使用过程的监控。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2、完善会计业务记录控制，每一项业务发生后，按照一定程序进行会计处理。</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（三）项目产出情况。202</w:t>
      </w:r>
      <w:r>
        <w:rPr>
          <w:rFonts w:hint="eastAsia" w:ascii="仿宋_GB2312" w:eastAsia="仿宋_GB2312"/>
          <w:sz w:val="32"/>
          <w:szCs w:val="32"/>
          <w:lang w:val="en-US" w:eastAsia="zh-CN"/>
        </w:rPr>
        <w:t>3</w:t>
      </w:r>
      <w:r>
        <w:rPr>
          <w:rFonts w:hint="eastAsia" w:ascii="仿宋_GB2312" w:eastAsia="仿宋_GB2312"/>
          <w:sz w:val="32"/>
          <w:szCs w:val="32"/>
        </w:rPr>
        <w:t>年下达</w:t>
      </w:r>
      <w:r>
        <w:rPr>
          <w:rFonts w:hint="eastAsia" w:ascii="仿宋_GB2312" w:eastAsia="仿宋_GB2312"/>
          <w:sz w:val="32"/>
          <w:szCs w:val="32"/>
          <w:lang w:eastAsia="zh-CN"/>
        </w:rPr>
        <w:t>资金</w:t>
      </w:r>
      <w:r>
        <w:rPr>
          <w:rFonts w:hint="eastAsia" w:ascii="仿宋_GB2312" w:eastAsia="仿宋_GB2312"/>
          <w:sz w:val="32"/>
          <w:szCs w:val="32"/>
          <w:lang w:val="en-US" w:eastAsia="zh-CN"/>
        </w:rPr>
        <w:t>2500</w:t>
      </w:r>
      <w:r>
        <w:rPr>
          <w:rFonts w:hint="eastAsia" w:ascii="仿宋_GB2312" w:eastAsia="仿宋_GB2312"/>
          <w:sz w:val="32"/>
          <w:szCs w:val="32"/>
        </w:rPr>
        <w:t>万元，实际使用</w:t>
      </w:r>
      <w:r>
        <w:rPr>
          <w:rFonts w:hint="eastAsia" w:ascii="仿宋_GB2312" w:eastAsia="仿宋_GB2312"/>
          <w:sz w:val="32"/>
          <w:szCs w:val="32"/>
          <w:lang w:val="en-US" w:eastAsia="zh-CN"/>
        </w:rPr>
        <w:t>774.12376</w:t>
      </w:r>
      <w:bookmarkStart w:id="0" w:name="_GoBack"/>
      <w:bookmarkEnd w:id="0"/>
      <w:r>
        <w:rPr>
          <w:rFonts w:hint="eastAsia" w:ascii="仿宋_GB2312" w:eastAsia="仿宋_GB2312"/>
          <w:sz w:val="32"/>
          <w:szCs w:val="32"/>
        </w:rPr>
        <w:t>万元。</w:t>
      </w:r>
    </w:p>
    <w:p>
      <w:pPr>
        <w:spacing w:line="600" w:lineRule="exact"/>
        <w:ind w:firstLine="800" w:firstLineChars="250"/>
        <w:outlineLvl w:val="0"/>
        <w:rPr>
          <w:rFonts w:ascii="仿宋_GB2312" w:eastAsia="仿宋_GB2312"/>
          <w:sz w:val="32"/>
          <w:szCs w:val="32"/>
        </w:rPr>
      </w:pPr>
      <w:r>
        <w:rPr>
          <w:rFonts w:hint="eastAsia" w:ascii="仿宋_GB2312" w:eastAsia="仿宋_GB2312"/>
          <w:sz w:val="32"/>
          <w:szCs w:val="32"/>
        </w:rPr>
        <w:t>（四）项目效益情况。经济效益、社会效益、环境效益可持续影响、服务对象满意度均较好，项目预期目标按时完成。</w:t>
      </w:r>
    </w:p>
    <w:p>
      <w:pPr>
        <w:spacing w:line="600" w:lineRule="exact"/>
        <w:ind w:firstLine="640" w:firstLineChars="200"/>
        <w:outlineLvl w:val="0"/>
        <w:rPr>
          <w:rFonts w:hint="eastAsia" w:ascii="仿宋_GB2312" w:eastAsia="仿宋_GB2312"/>
          <w:sz w:val="32"/>
          <w:szCs w:val="32"/>
          <w:lang w:eastAsia="zh-CN"/>
        </w:rPr>
      </w:pPr>
    </w:p>
    <w:p>
      <w:pPr>
        <w:numPr>
          <w:ilvl w:val="0"/>
          <w:numId w:val="0"/>
        </w:numPr>
        <w:spacing w:line="600" w:lineRule="exact"/>
        <w:ind w:leftChars="200"/>
        <w:rPr>
          <w:rFonts w:hint="eastAsia" w:eastAsia="黑体"/>
          <w:sz w:val="32"/>
          <w:szCs w:val="32"/>
        </w:rPr>
      </w:pPr>
      <w:r>
        <w:rPr>
          <w:rFonts w:hint="eastAsia" w:eastAsia="黑体"/>
          <w:sz w:val="32"/>
          <w:szCs w:val="32"/>
          <w:lang w:eastAsia="zh-CN"/>
        </w:rPr>
        <w:t>五、</w:t>
      </w: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ascii="仿宋" w:hAnsi="仿宋" w:eastAsia="仿宋"/>
          <w:sz w:val="32"/>
          <w:szCs w:val="32"/>
        </w:rPr>
        <w:t>一是加强领导</w:t>
      </w:r>
      <w:r>
        <w:rPr>
          <w:rFonts w:hint="eastAsia" w:ascii="仿宋" w:hAnsi="仿宋" w:eastAsia="仿宋"/>
          <w:sz w:val="32"/>
          <w:szCs w:val="32"/>
        </w:rPr>
        <w:t>，</w:t>
      </w:r>
      <w:r>
        <w:rPr>
          <w:rFonts w:ascii="仿宋" w:hAnsi="仿宋" w:eastAsia="仿宋"/>
          <w:sz w:val="32"/>
          <w:szCs w:val="32"/>
        </w:rPr>
        <w:t>落实责任</w:t>
      </w:r>
      <w:r>
        <w:rPr>
          <w:rFonts w:hint="eastAsia" w:ascii="仿宋" w:hAnsi="仿宋" w:eastAsia="仿宋"/>
          <w:sz w:val="32"/>
          <w:szCs w:val="32"/>
        </w:rPr>
        <w:t>，</w:t>
      </w:r>
      <w:r>
        <w:rPr>
          <w:rFonts w:ascii="仿宋" w:hAnsi="仿宋" w:eastAsia="仿宋"/>
          <w:sz w:val="32"/>
          <w:szCs w:val="32"/>
        </w:rPr>
        <w:t>单位领导对资金使用管理</w:t>
      </w:r>
      <w:r>
        <w:rPr>
          <w:rFonts w:hint="eastAsia" w:ascii="仿宋" w:hAnsi="仿宋" w:eastAsia="仿宋"/>
          <w:sz w:val="32"/>
          <w:szCs w:val="32"/>
        </w:rPr>
        <w:t>，</w:t>
      </w:r>
      <w:r>
        <w:rPr>
          <w:rFonts w:ascii="仿宋" w:hAnsi="仿宋" w:eastAsia="仿宋"/>
          <w:sz w:val="32"/>
          <w:szCs w:val="32"/>
        </w:rPr>
        <w:t>项目实施全面负责</w:t>
      </w:r>
      <w:r>
        <w:rPr>
          <w:rFonts w:hint="eastAsia" w:ascii="仿宋" w:hAnsi="仿宋" w:eastAsia="仿宋"/>
          <w:sz w:val="32"/>
          <w:szCs w:val="32"/>
        </w:rPr>
        <w:t>；二是严格程序，确保资金效益。</w:t>
      </w:r>
    </w:p>
    <w:p>
      <w:pPr>
        <w:numPr>
          <w:ilvl w:val="0"/>
          <w:numId w:val="0"/>
        </w:numPr>
        <w:spacing w:line="600" w:lineRule="exact"/>
        <w:ind w:leftChars="200"/>
        <w:rPr>
          <w:rFonts w:hint="eastAsia" w:eastAsia="黑体"/>
          <w:sz w:val="32"/>
          <w:szCs w:val="32"/>
        </w:rPr>
      </w:pPr>
    </w:p>
    <w:p>
      <w:pPr>
        <w:spacing w:line="600" w:lineRule="exact"/>
        <w:ind w:firstLine="640" w:firstLineChars="200"/>
        <w:rPr>
          <w:rFonts w:hint="eastAsia" w:eastAsia="黑体"/>
          <w:sz w:val="32"/>
          <w:szCs w:val="32"/>
          <w:lang w:val="en-US" w:eastAsia="zh-CN"/>
        </w:rPr>
      </w:pPr>
      <w:r>
        <w:rPr>
          <w:rFonts w:hint="eastAsia" w:eastAsia="黑体"/>
          <w:sz w:val="32"/>
          <w:szCs w:val="32"/>
        </w:rPr>
        <w:t>六、有关建议</w:t>
      </w:r>
      <w:r>
        <w:rPr>
          <w:rFonts w:hint="eastAsia" w:eastAsia="黑体"/>
          <w:sz w:val="32"/>
          <w:szCs w:val="32"/>
          <w:lang w:val="en-US" w:eastAsia="zh-CN"/>
        </w:rPr>
        <w:t xml:space="preserve"> 无</w:t>
      </w:r>
    </w:p>
    <w:p>
      <w:pPr>
        <w:spacing w:line="600" w:lineRule="exact"/>
        <w:ind w:firstLine="640" w:firstLineChars="200"/>
        <w:rPr>
          <w:rFonts w:hint="default" w:eastAsia="黑体"/>
          <w:sz w:val="32"/>
          <w:szCs w:val="32"/>
          <w:lang w:val="en-US" w:eastAsia="zh-CN"/>
        </w:rPr>
      </w:pPr>
      <w:r>
        <w:rPr>
          <w:rFonts w:hint="eastAsia" w:eastAsia="黑体"/>
          <w:sz w:val="32"/>
          <w:szCs w:val="32"/>
        </w:rPr>
        <w:t>七、其他需要说明的问题</w:t>
      </w:r>
      <w:r>
        <w:rPr>
          <w:rFonts w:hint="eastAsia" w:eastAsia="黑体"/>
          <w:sz w:val="32"/>
          <w:szCs w:val="32"/>
          <w:lang w:val="en-US" w:eastAsia="zh-CN"/>
        </w:rPr>
        <w:t xml:space="preserve">  无</w:t>
      </w:r>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9DF23D"/>
    <w:multiLevelType w:val="singleLevel"/>
    <w:tmpl w:val="859DF23D"/>
    <w:lvl w:ilvl="0" w:tentative="0">
      <w:start w:val="2"/>
      <w:numFmt w:val="chineseCounting"/>
      <w:suff w:val="nothing"/>
      <w:lvlText w:val="（%1）"/>
      <w:lvlJc w:val="left"/>
      <w:pPr>
        <w:ind w:left="830"/>
      </w:pPr>
      <w:rPr>
        <w:rFonts w:hint="eastAsia"/>
      </w:rPr>
    </w:lvl>
  </w:abstractNum>
  <w:abstractNum w:abstractNumId="1">
    <w:nsid w:val="92FE3C10"/>
    <w:multiLevelType w:val="singleLevel"/>
    <w:tmpl w:val="92FE3C10"/>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yMjE2NzRjNmI3ZjVhODllNjA4NDdiYjQ0NzJlMWQifQ=="/>
  </w:docVars>
  <w:rsids>
    <w:rsidRoot w:val="00D72339"/>
    <w:rsid w:val="006D698D"/>
    <w:rsid w:val="007B014A"/>
    <w:rsid w:val="008D0681"/>
    <w:rsid w:val="00D72339"/>
    <w:rsid w:val="0FD13331"/>
    <w:rsid w:val="11F0764E"/>
    <w:rsid w:val="1A2F2416"/>
    <w:rsid w:val="44787793"/>
    <w:rsid w:val="4595474B"/>
    <w:rsid w:val="496E2F46"/>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1516</Words>
  <Characters>1544</Characters>
  <Lines>1</Lines>
  <Paragraphs>1</Paragraphs>
  <TotalTime>6</TotalTime>
  <ScaleCrop>false</ScaleCrop>
  <LinksUpToDate>false</LinksUpToDate>
  <CharactersWithSpaces>1548</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2024-04-23T02:43:00Z</cp:lastPrinted>
  <dcterms:modified xsi:type="dcterms:W3CDTF">2024-04-23T02:43:48Z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