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Pr>
        <w:jc w:val="center"/>
        <w:rPr>
          <w:rFonts w:hint="eastAsia" w:ascii="仿宋" w:hAnsi="仿宋" w:eastAsia="仿宋" w:cs="仿宋"/>
          <w:sz w:val="52"/>
          <w:szCs w:val="52"/>
          <w:lang w:val="en-US" w:eastAsia="zh-CN"/>
        </w:rPr>
      </w:pPr>
    </w:p>
    <w:p>
      <w:pPr>
        <w:jc w:val="center"/>
        <w:rPr>
          <w:rFonts w:hint="eastAsia" w:ascii="仿宋" w:hAnsi="仿宋" w:eastAsia="仿宋" w:cs="仿宋"/>
          <w:sz w:val="52"/>
          <w:szCs w:val="52"/>
          <w:lang w:val="en-US" w:eastAsia="zh-CN"/>
        </w:rPr>
      </w:pPr>
      <w:r>
        <w:rPr>
          <w:rFonts w:hint="eastAsia" w:ascii="仿宋" w:hAnsi="仿宋" w:eastAsia="仿宋" w:cs="仿宋"/>
          <w:sz w:val="52"/>
          <w:szCs w:val="52"/>
          <w:lang w:val="en-US" w:eastAsia="zh-CN"/>
        </w:rPr>
        <w:t>预算部门整体绩效自评报告</w:t>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（2023年度）</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评价方式：☑直接组织评价 ☐委托评价</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center"/>
        <w:rPr>
          <w:rFonts w:hint="default" w:ascii="仿宋" w:hAnsi="仿宋" w:eastAsia="仿宋" w:cs="仿宋"/>
          <w:sz w:val="32"/>
          <w:szCs w:val="32"/>
          <w:u w:val="single"/>
          <w:lang w:val="en-US" w:eastAsia="zh-CN"/>
        </w:rPr>
      </w:pPr>
      <w:r>
        <w:rPr>
          <w:rFonts w:hint="eastAsia" w:ascii="仿宋" w:hAnsi="仿宋" w:eastAsia="仿宋" w:cs="仿宋"/>
          <w:sz w:val="32"/>
          <w:szCs w:val="32"/>
          <w:lang w:val="en-US" w:eastAsia="zh-CN"/>
        </w:rPr>
        <w:t>部门名称：</w:t>
      </w:r>
      <w:r>
        <w:rPr>
          <w:rFonts w:hint="eastAsia" w:ascii="仿宋" w:hAnsi="仿宋" w:eastAsia="仿宋" w:cs="仿宋"/>
          <w:sz w:val="32"/>
          <w:szCs w:val="32"/>
          <w:u w:val="single"/>
          <w:lang w:val="en-US" w:eastAsia="zh-CN"/>
        </w:rPr>
        <w:t xml:space="preserve"> 玉田县社会保险服务中心 </w:t>
      </w:r>
    </w:p>
    <w:p>
      <w:pPr>
        <w:ind w:firstLine="1600" w:firstLineChars="500"/>
        <w:jc w:val="both"/>
        <w:rPr>
          <w:rFonts w:hint="default" w:ascii="仿宋" w:hAnsi="仿宋" w:eastAsia="仿宋" w:cs="仿宋"/>
          <w:sz w:val="32"/>
          <w:szCs w:val="32"/>
          <w:u w:val="single"/>
          <w:lang w:val="en-US" w:eastAsia="zh-CN"/>
        </w:rPr>
      </w:pPr>
      <w:r>
        <w:rPr>
          <w:rFonts w:hint="eastAsia" w:ascii="仿宋" w:hAnsi="仿宋" w:eastAsia="仿宋" w:cs="仿宋"/>
          <w:sz w:val="32"/>
          <w:szCs w:val="32"/>
          <w:u w:val="none"/>
          <w:lang w:val="en-US" w:eastAsia="zh-CN"/>
        </w:rPr>
        <w:t>联系电话：</w:t>
      </w:r>
      <w:r>
        <w:rPr>
          <w:rFonts w:hint="eastAsia" w:ascii="仿宋" w:hAnsi="仿宋" w:eastAsia="仿宋" w:cs="仿宋"/>
          <w:sz w:val="32"/>
          <w:szCs w:val="32"/>
          <w:u w:val="single"/>
          <w:lang w:val="en-US" w:eastAsia="zh-CN"/>
        </w:rPr>
        <w:t xml:space="preserve">       03156165805      </w:t>
      </w:r>
    </w:p>
    <w:p>
      <w:pPr>
        <w:jc w:val="center"/>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p>
    <w:p>
      <w:pPr>
        <w:jc w:val="both"/>
        <w:rPr>
          <w:rFonts w:hint="eastAsia" w:ascii="仿宋" w:hAnsi="仿宋" w:eastAsia="仿宋" w:cs="仿宋"/>
          <w:sz w:val="32"/>
          <w:szCs w:val="32"/>
          <w:lang w:val="en-US" w:eastAsia="zh-CN"/>
        </w:rPr>
      </w:pP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填报日期：2024年4月</w:t>
      </w:r>
    </w:p>
    <w:p>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玉田县财政局监制</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br w:type="page"/>
      </w:r>
    </w:p>
    <w:p>
      <w:pPr>
        <w:jc w:val="center"/>
        <w:rPr>
          <w:rFonts w:hint="eastAsia" w:ascii="仿宋" w:hAnsi="仿宋" w:eastAsia="仿宋" w:cs="仿宋"/>
          <w:b/>
          <w:bCs/>
          <w:sz w:val="48"/>
          <w:szCs w:val="48"/>
          <w:lang w:val="en-US" w:eastAsia="zh-CN"/>
        </w:rPr>
      </w:pPr>
      <w:r>
        <w:rPr>
          <w:rFonts w:hint="eastAsia" w:ascii="仿宋" w:hAnsi="仿宋" w:eastAsia="仿宋" w:cs="仿宋"/>
          <w:b/>
          <w:bCs/>
          <w:sz w:val="48"/>
          <w:szCs w:val="48"/>
          <w:lang w:val="en-US" w:eastAsia="zh-CN"/>
        </w:rPr>
        <w:t>部门整体绩效自评情况</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eastAsia" w:ascii="仿宋" w:hAnsi="仿宋" w:eastAsia="仿宋" w:cs="仿宋"/>
          <w:b/>
          <w:bCs/>
          <w:sz w:val="32"/>
          <w:szCs w:val="32"/>
          <w:lang w:val="en-US" w:eastAsia="zh-CN"/>
        </w:rPr>
      </w:pPr>
      <w:r>
        <w:rPr>
          <w:rFonts w:hint="eastAsia" w:ascii="仿宋" w:hAnsi="仿宋" w:eastAsia="仿宋" w:cs="仿宋"/>
          <w:b/>
          <w:bCs/>
          <w:kern w:val="2"/>
          <w:sz w:val="32"/>
          <w:szCs w:val="32"/>
          <w:lang w:val="en-US" w:eastAsia="zh-CN" w:bidi="ar-SA"/>
        </w:rPr>
        <w:t>一、</w:t>
      </w:r>
      <w:r>
        <w:rPr>
          <w:rFonts w:hint="eastAsia" w:ascii="仿宋" w:hAnsi="仿宋" w:eastAsia="仿宋" w:cs="仿宋"/>
          <w:b/>
          <w:bCs/>
          <w:sz w:val="32"/>
          <w:szCs w:val="32"/>
          <w:lang w:val="en-US" w:eastAsia="zh-CN"/>
        </w:rPr>
        <w:t>部门整体概况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本部门 202</w:t>
      </w:r>
      <w:r>
        <w:rPr>
          <w:rFonts w:hint="eastAsia" w:ascii="仿宋" w:hAnsi="仿宋" w:eastAsia="仿宋" w:cs="仿宋"/>
          <w:b w:val="0"/>
          <w:bCs w:val="0"/>
          <w:sz w:val="32"/>
          <w:szCs w:val="32"/>
          <w:lang w:val="en-US" w:eastAsia="zh-CN"/>
        </w:rPr>
        <w:t>3</w:t>
      </w:r>
      <w:r>
        <w:rPr>
          <w:rFonts w:hint="default" w:ascii="仿宋" w:hAnsi="仿宋" w:eastAsia="仿宋" w:cs="仿宋"/>
          <w:b w:val="0"/>
          <w:bCs w:val="0"/>
          <w:sz w:val="32"/>
          <w:szCs w:val="32"/>
          <w:lang w:val="en-US" w:eastAsia="zh-CN"/>
        </w:rPr>
        <w:t>年度申请预算资金</w:t>
      </w:r>
      <w:r>
        <w:rPr>
          <w:rFonts w:hint="eastAsia" w:ascii="仿宋" w:hAnsi="仿宋" w:eastAsia="仿宋" w:cs="仿宋"/>
          <w:b w:val="0"/>
          <w:bCs w:val="0"/>
          <w:sz w:val="32"/>
          <w:szCs w:val="32"/>
          <w:lang w:val="en-US" w:eastAsia="zh-CN"/>
        </w:rPr>
        <w:t>58004.24</w:t>
      </w:r>
      <w:r>
        <w:rPr>
          <w:rFonts w:hint="default" w:ascii="仿宋" w:hAnsi="仿宋" w:eastAsia="仿宋" w:cs="仿宋"/>
          <w:b w:val="0"/>
          <w:bCs w:val="0"/>
          <w:sz w:val="32"/>
          <w:szCs w:val="32"/>
          <w:lang w:val="en-US" w:eastAsia="zh-CN"/>
        </w:rPr>
        <w:t>万元,实际支出</w:t>
      </w:r>
      <w:r>
        <w:rPr>
          <w:rFonts w:hint="eastAsia" w:ascii="仿宋" w:hAnsi="仿宋" w:eastAsia="仿宋" w:cs="仿宋"/>
          <w:b w:val="0"/>
          <w:bCs w:val="0"/>
          <w:sz w:val="32"/>
          <w:szCs w:val="32"/>
          <w:lang w:val="en-US" w:eastAsia="zh-CN"/>
        </w:rPr>
        <w:t>47785.46</w:t>
      </w:r>
      <w:r>
        <w:rPr>
          <w:rFonts w:hint="default" w:ascii="仿宋" w:hAnsi="仿宋" w:eastAsia="仿宋" w:cs="仿宋"/>
          <w:b w:val="0"/>
          <w:bCs w:val="0"/>
          <w:sz w:val="32"/>
          <w:szCs w:val="32"/>
          <w:lang w:val="en-US" w:eastAsia="zh-CN"/>
        </w:rPr>
        <w:t>万元,预算执行率</w:t>
      </w:r>
      <w:r>
        <w:rPr>
          <w:rFonts w:hint="eastAsia" w:ascii="仿宋" w:hAnsi="仿宋" w:eastAsia="仿宋" w:cs="仿宋"/>
          <w:b w:val="0"/>
          <w:bCs w:val="0"/>
          <w:sz w:val="32"/>
          <w:szCs w:val="32"/>
          <w:lang w:val="en-US" w:eastAsia="zh-CN"/>
        </w:rPr>
        <w:t>82.38</w:t>
      </w:r>
      <w:r>
        <w:rPr>
          <w:rFonts w:hint="default" w:ascii="仿宋" w:hAnsi="仿宋" w:eastAsia="仿宋" w:cs="仿宋"/>
          <w:b w:val="0"/>
          <w:bCs w:val="0"/>
          <w:sz w:val="32"/>
          <w:szCs w:val="32"/>
          <w:lang w:val="en-US" w:eastAsia="zh-CN"/>
        </w:rPr>
        <w:t>%。其中:</w:t>
      </w:r>
      <w:r>
        <w:rPr>
          <w:rFonts w:hint="eastAsia" w:ascii="仿宋" w:hAnsi="仿宋" w:eastAsia="仿宋" w:cs="仿宋"/>
          <w:b w:val="0"/>
          <w:bCs w:val="0"/>
          <w:sz w:val="32"/>
          <w:szCs w:val="32"/>
          <w:lang w:val="en-US" w:eastAsia="zh-CN"/>
        </w:rPr>
        <w:t>上级转移支付</w:t>
      </w:r>
      <w:r>
        <w:rPr>
          <w:rFonts w:hint="default" w:ascii="仿宋" w:hAnsi="仿宋" w:eastAsia="仿宋" w:cs="仿宋"/>
          <w:b w:val="0"/>
          <w:bCs w:val="0"/>
          <w:sz w:val="32"/>
          <w:szCs w:val="32"/>
          <w:lang w:val="en-US" w:eastAsia="zh-CN"/>
        </w:rPr>
        <w:t>项目</w:t>
      </w:r>
      <w:r>
        <w:rPr>
          <w:rFonts w:hint="eastAsia" w:ascii="仿宋" w:hAnsi="仿宋" w:eastAsia="仿宋" w:cs="仿宋"/>
          <w:b w:val="0"/>
          <w:bCs w:val="0"/>
          <w:sz w:val="32"/>
          <w:szCs w:val="32"/>
          <w:lang w:val="en-US" w:eastAsia="zh-CN"/>
        </w:rPr>
        <w:t>9</w:t>
      </w:r>
      <w:r>
        <w:rPr>
          <w:rFonts w:hint="default" w:ascii="仿宋" w:hAnsi="仿宋" w:eastAsia="仿宋" w:cs="仿宋"/>
          <w:b w:val="0"/>
          <w:bCs w:val="0"/>
          <w:sz w:val="32"/>
          <w:szCs w:val="32"/>
          <w:lang w:val="en-US" w:eastAsia="zh-CN"/>
        </w:rPr>
        <w:t>个，金额合计</w:t>
      </w:r>
      <w:r>
        <w:rPr>
          <w:rFonts w:hint="eastAsia" w:ascii="仿宋" w:hAnsi="仿宋" w:eastAsia="仿宋" w:cs="仿宋"/>
          <w:b w:val="0"/>
          <w:bCs w:val="0"/>
          <w:sz w:val="32"/>
          <w:szCs w:val="32"/>
          <w:lang w:val="en-US" w:eastAsia="zh-CN"/>
        </w:rPr>
        <w:t>25069.21</w:t>
      </w:r>
      <w:r>
        <w:rPr>
          <w:rFonts w:hint="default" w:ascii="仿宋" w:hAnsi="仿宋" w:eastAsia="仿宋" w:cs="仿宋"/>
          <w:b w:val="0"/>
          <w:bCs w:val="0"/>
          <w:sz w:val="32"/>
          <w:szCs w:val="32"/>
          <w:lang w:val="en-US" w:eastAsia="zh-CN"/>
        </w:rPr>
        <w:t>万元，实际支出</w:t>
      </w:r>
      <w:r>
        <w:rPr>
          <w:rFonts w:hint="eastAsia" w:ascii="仿宋" w:hAnsi="仿宋" w:eastAsia="仿宋" w:cs="仿宋"/>
          <w:b w:val="0"/>
          <w:bCs w:val="0"/>
          <w:sz w:val="32"/>
          <w:szCs w:val="32"/>
          <w:lang w:val="en-US" w:eastAsia="zh-CN"/>
        </w:rPr>
        <w:t>25068.46</w:t>
      </w:r>
      <w:r>
        <w:rPr>
          <w:rFonts w:hint="default" w:ascii="仿宋" w:hAnsi="仿宋" w:eastAsia="仿宋" w:cs="仿宋"/>
          <w:b w:val="0"/>
          <w:bCs w:val="0"/>
          <w:sz w:val="32"/>
          <w:szCs w:val="32"/>
          <w:lang w:val="en-US" w:eastAsia="zh-CN"/>
        </w:rPr>
        <w:t>万元，执行率为</w:t>
      </w:r>
      <w:r>
        <w:rPr>
          <w:rFonts w:hint="eastAsia" w:ascii="仿宋" w:hAnsi="仿宋" w:eastAsia="仿宋" w:cs="仿宋"/>
          <w:b w:val="0"/>
          <w:bCs w:val="0"/>
          <w:sz w:val="32"/>
          <w:szCs w:val="32"/>
          <w:lang w:val="en-US" w:eastAsia="zh-CN"/>
        </w:rPr>
        <w:t>99.99</w:t>
      </w:r>
      <w:r>
        <w:rPr>
          <w:rFonts w:hint="default" w:ascii="仿宋" w:hAnsi="仿宋" w:eastAsia="仿宋" w:cs="仿宋"/>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二、</w:t>
      </w:r>
      <w:r>
        <w:rPr>
          <w:rFonts w:hint="default" w:ascii="仿宋" w:hAnsi="仿宋" w:eastAsia="仿宋" w:cs="仿宋"/>
          <w:b/>
          <w:bCs/>
          <w:kern w:val="2"/>
          <w:sz w:val="32"/>
          <w:szCs w:val="32"/>
          <w:lang w:val="en-US" w:eastAsia="zh-CN" w:bidi="ar-SA"/>
        </w:rPr>
        <w:t>部门总体绩效目标和绩效指标设定情况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本部门年初设定的部门整体绩效指标是</w:t>
      </w:r>
      <w:r>
        <w:rPr>
          <w:rFonts w:hint="eastAsia" w:ascii="仿宋" w:hAnsi="仿宋" w:eastAsia="仿宋" w:cs="仿宋"/>
          <w:b w:val="0"/>
          <w:bCs w:val="0"/>
          <w:sz w:val="32"/>
          <w:szCs w:val="32"/>
          <w:lang w:val="en-US" w:eastAsia="zh-CN"/>
        </w:rPr>
        <w:t>：按社会保险基金经办规定、专项资金下达文件、各基金险种征缴和支出实际情况和经办机构运转需求完成各项目支出，人员支出和基本支出按实际支出。</w:t>
      </w:r>
    </w:p>
    <w:p>
      <w:pPr>
        <w:widowControl w:val="0"/>
        <w:numPr>
          <w:ilvl w:val="0"/>
          <w:numId w:val="0"/>
        </w:numPr>
        <w:ind w:leftChars="0"/>
        <w:jc w:val="center"/>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部门职责-</w:t>
      </w:r>
      <w:r>
        <w:rPr>
          <w:rFonts w:hint="eastAsia" w:ascii="仿宋" w:hAnsi="仿宋" w:eastAsia="仿宋" w:cs="仿宋"/>
          <w:b w:val="0"/>
          <w:bCs w:val="0"/>
          <w:sz w:val="32"/>
          <w:szCs w:val="32"/>
          <w:lang w:val="en-US" w:eastAsia="zh-CN"/>
        </w:rPr>
        <w:t>项目</w:t>
      </w:r>
      <w:r>
        <w:rPr>
          <w:rFonts w:hint="default" w:ascii="仿宋" w:hAnsi="仿宋" w:eastAsia="仿宋" w:cs="仿宋"/>
          <w:b w:val="0"/>
          <w:bCs w:val="0"/>
          <w:sz w:val="32"/>
          <w:szCs w:val="32"/>
          <w:lang w:val="en-US" w:eastAsia="zh-CN"/>
        </w:rPr>
        <w:t>绩效目标</w:t>
      </w:r>
    </w:p>
    <w:p>
      <w:pPr>
        <w:widowControl w:val="0"/>
        <w:numPr>
          <w:ilvl w:val="0"/>
          <w:numId w:val="0"/>
        </w:numPr>
        <w:ind w:leftChars="0"/>
        <w:jc w:val="left"/>
        <w:rPr>
          <w:rFonts w:hint="eastAsia" w:ascii="仿宋" w:hAnsi="仿宋" w:eastAsia="仿宋" w:cs="仿宋"/>
          <w:b w:val="0"/>
          <w:bCs w:val="0"/>
          <w:sz w:val="22"/>
          <w:szCs w:val="22"/>
          <w:lang w:val="en-US" w:eastAsia="zh-CN"/>
        </w:rPr>
      </w:pPr>
      <w:r>
        <w:rPr>
          <w:rFonts w:hint="eastAsia" w:ascii="仿宋" w:hAnsi="仿宋" w:eastAsia="仿宋" w:cs="仿宋"/>
          <w:b w:val="0"/>
          <w:bCs w:val="0"/>
          <w:color w:val="FF0000"/>
          <w:sz w:val="22"/>
          <w:szCs w:val="22"/>
          <w:lang w:val="en-US" w:eastAsia="zh-CN"/>
        </w:rPr>
        <w:t xml:space="preserve">326玉田县社会保险服务中心本级 </w:t>
      </w:r>
      <w:r>
        <w:rPr>
          <w:rFonts w:hint="eastAsia" w:ascii="仿宋" w:hAnsi="仿宋" w:eastAsia="仿宋" w:cs="仿宋"/>
          <w:b w:val="0"/>
          <w:bCs w:val="0"/>
          <w:sz w:val="22"/>
          <w:szCs w:val="22"/>
          <w:lang w:val="en-US" w:eastAsia="zh-CN"/>
        </w:rPr>
        <w:t xml:space="preserve">                             单位：万元</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986"/>
        <w:gridCol w:w="656"/>
        <w:gridCol w:w="542"/>
        <w:gridCol w:w="600"/>
        <w:gridCol w:w="600"/>
        <w:gridCol w:w="600"/>
        <w:gridCol w:w="617"/>
        <w:gridCol w:w="2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Merge w:val="restart"/>
            <w:vAlign w:val="center"/>
          </w:tcPr>
          <w:p>
            <w:pPr>
              <w:widowControl w:val="0"/>
              <w:numPr>
                <w:ilvl w:val="0"/>
                <w:numId w:val="0"/>
              </w:numPr>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项目名称</w:t>
            </w:r>
          </w:p>
        </w:tc>
        <w:tc>
          <w:tcPr>
            <w:tcW w:w="578" w:type="pct"/>
            <w:vMerge w:val="restar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年度预算数</w:t>
            </w:r>
          </w:p>
        </w:tc>
        <w:tc>
          <w:tcPr>
            <w:tcW w:w="385" w:type="pct"/>
            <w:vMerge w:val="restar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内容描述</w:t>
            </w:r>
          </w:p>
        </w:tc>
        <w:tc>
          <w:tcPr>
            <w:tcW w:w="318" w:type="pct"/>
            <w:vMerge w:val="restar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绩效目标</w:t>
            </w:r>
          </w:p>
        </w:tc>
        <w:tc>
          <w:tcPr>
            <w:tcW w:w="1418" w:type="pct"/>
            <w:gridSpan w:val="4"/>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评价标准</w:t>
            </w: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578"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385"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318" w:type="pct"/>
            <w:vMerge w:val="continue"/>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优</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良</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中</w:t>
            </w: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差</w:t>
            </w:r>
          </w:p>
        </w:tc>
        <w:tc>
          <w:tcPr>
            <w:tcW w:w="1591" w:type="pct"/>
            <w:vAlign w:val="center"/>
          </w:tcPr>
          <w:p>
            <w:pPr>
              <w:widowControl w:val="0"/>
              <w:numPr>
                <w:ilvl w:val="0"/>
                <w:numId w:val="0"/>
              </w:numPr>
              <w:jc w:val="center"/>
              <w:rPr>
                <w:rFonts w:hint="eastAsia"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2023年城乡居民养老保险个人缴费县级补贴</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250</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2023年城乡居民养老保险个人缴费县级补贴</w:t>
            </w:r>
          </w:p>
        </w:tc>
        <w:tc>
          <w:tcPr>
            <w:tcW w:w="31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2023年城乡居民养老保险基础养老金县级补贴</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2107</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2023年城乡居民养老保险基础养老金县级补贴</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城乡居民养老保险县级补助资金</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1750</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城乡居民养老保险县级补助资金</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2023年城乡居民养老保险贫困代缴补贴</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30</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2023年城乡居民养老保险贫困代缴补贴</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财社[2022]170号2023年省级城乡居民基本养老保险为困难群体代缴补助资金</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32.4</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2023年省级城乡居民基本养老保险为困难群体代缴补助资金</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被征地农民养老保险退休金财政补贴</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17.08</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被征地农民养老保险退休金财政补贴</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冀财社[2023]142号2023年中央财政城乡居民基本养老保险补助经费</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425</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2023年中央财政城乡居民基本养老保险补助经费</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冀财社[2022]145号2023年中央财政城乡居民基本养老保险补助经费</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14409</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2023年中央财政城乡居民基本养老保险补助经费</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冀财社[2023]134号下达2022年城乡居民基本养老保险中央财政结算补助资金</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1051.21</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2022年城乡居民基本养老保险中央财政结算补助资金</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冀财社[2022]170号2023年省级城乡居民基本养老保险补助资金</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3900.6</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2023年省级城乡居民基本养老保险补助资金</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事业单位离退休费</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16800</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事业单位离退休费</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冀财社[2022]151号2023年中央财政机关事业单位养老保险制度改革补助经费</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4375</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2023年中央财政机关事业单位养老保险制度改革补助经费</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冀财社{2023]136号下达2023年中央财政调整机关事业单位基本养老金水平补助经费</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843</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2023年中央财政调整机关事业单位基本养老金水平补助经费</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职业年金虚账记实及实账利息</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2374.96</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职业年金虚账记实及实账利息</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机关事业养老保险统筹外支出</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3000</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机关事业养老保险统筹外支出</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城乡居民养老保险丧葬补助金</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480</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城乡居民养老保险丧葬补助金</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机关事业单位退休中人基本养老金调整补发</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970</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机关事业单位退休中人基本养老金调整补发</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机关事业单位改革前退休中人个人缴费本息一次性返还</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5000</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机关事业单位改革前退休中人个人缴费本息一次性返还</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冀财社【2021】192号关于提前下达2022年省级城乡居民养老保险、就业公共服务村级代办员补助资金</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22</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2022年省级城乡居民养老保险、就业公共服务村级代办员补助资金</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冀财社[2022]174号2023年省级城乡居民社会保险代办员补助资金</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12</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2023年省级城乡居民社会保险代办员补助资金</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专项业务费</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20</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default" w:ascii="仿宋" w:hAnsi="仿宋" w:eastAsia="仿宋" w:cs="仿宋"/>
                <w:b w:val="0"/>
                <w:bCs w:val="0"/>
                <w:sz w:val="22"/>
                <w:szCs w:val="22"/>
                <w:vertAlign w:val="baseline"/>
                <w:lang w:val="en-US" w:eastAsia="zh-CN"/>
              </w:rPr>
              <w:t>专项业务费</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人员</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628.44</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人员工资、保险</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bookmarkStart w:id="0" w:name="_GoBack" w:colFirst="3" w:colLast="5"/>
            <w:r>
              <w:rPr>
                <w:rFonts w:hint="eastAsia" w:ascii="仿宋" w:hAnsi="仿宋" w:eastAsia="仿宋" w:cs="仿宋"/>
                <w:b w:val="0"/>
                <w:bCs w:val="0"/>
                <w:sz w:val="22"/>
                <w:szCs w:val="22"/>
                <w:vertAlign w:val="baseline"/>
                <w:lang w:val="en-US" w:eastAsia="zh-CN"/>
              </w:rPr>
              <w:t>公用</w:t>
            </w:r>
          </w:p>
        </w:tc>
        <w:tc>
          <w:tcPr>
            <w:tcW w:w="578"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18.19</w:t>
            </w:r>
          </w:p>
        </w:tc>
        <w:tc>
          <w:tcPr>
            <w:tcW w:w="385"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r>
              <w:rPr>
                <w:rFonts w:hint="eastAsia" w:ascii="仿宋" w:hAnsi="仿宋" w:eastAsia="仿宋" w:cs="仿宋"/>
                <w:b w:val="0"/>
                <w:bCs w:val="0"/>
                <w:sz w:val="22"/>
                <w:szCs w:val="22"/>
                <w:vertAlign w:val="baseline"/>
                <w:lang w:val="en-US" w:eastAsia="zh-CN"/>
              </w:rPr>
              <w:t>经办机构运转经费</w:t>
            </w:r>
          </w:p>
        </w:tc>
        <w:tc>
          <w:tcPr>
            <w:tcW w:w="318"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补贴到位</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80%</w:t>
            </w:r>
          </w:p>
        </w:tc>
        <w:tc>
          <w:tcPr>
            <w:tcW w:w="352" w:type="pct"/>
            <w:vAlign w:val="center"/>
          </w:tcPr>
          <w:p>
            <w:pPr>
              <w:widowControl w:val="0"/>
              <w:numPr>
                <w:ilvl w:val="0"/>
                <w:numId w:val="0"/>
              </w:numPr>
              <w:ind w:left="0" w:leftChars="0" w:firstLine="0" w:firstLineChars="0"/>
              <w:jc w:val="center"/>
              <w:rPr>
                <w:rFonts w:hint="default" w:ascii="仿宋" w:hAnsi="仿宋" w:eastAsia="仿宋" w:cs="仿宋"/>
                <w:b w:val="0"/>
                <w:bCs w:val="0"/>
                <w:kern w:val="2"/>
                <w:sz w:val="22"/>
                <w:szCs w:val="22"/>
                <w:vertAlign w:val="baseline"/>
                <w:lang w:val="en-US" w:eastAsia="zh-CN" w:bidi="ar-SA"/>
              </w:rPr>
            </w:pPr>
            <w:r>
              <w:rPr>
                <w:rFonts w:hint="eastAsia" w:ascii="仿宋" w:hAnsi="仿宋" w:eastAsia="仿宋" w:cs="仿宋"/>
                <w:b w:val="0"/>
                <w:bCs w:val="0"/>
                <w:sz w:val="22"/>
                <w:szCs w:val="22"/>
                <w:vertAlign w:val="baseline"/>
                <w:lang w:val="en-US" w:eastAsia="zh-CN"/>
              </w:rPr>
              <w:t>20%</w:t>
            </w:r>
          </w:p>
        </w:tc>
        <w:tc>
          <w:tcPr>
            <w:tcW w:w="35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362"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c>
          <w:tcPr>
            <w:tcW w:w="1591" w:type="pct"/>
            <w:vAlign w:val="center"/>
          </w:tcPr>
          <w:p>
            <w:pPr>
              <w:widowControl w:val="0"/>
              <w:numPr>
                <w:ilvl w:val="0"/>
                <w:numId w:val="0"/>
              </w:numPr>
              <w:jc w:val="center"/>
              <w:rPr>
                <w:rFonts w:hint="default" w:ascii="仿宋" w:hAnsi="仿宋" w:eastAsia="仿宋" w:cs="仿宋"/>
                <w:b w:val="0"/>
                <w:bCs w:val="0"/>
                <w:sz w:val="22"/>
                <w:szCs w:val="22"/>
                <w:vertAlign w:val="baseline"/>
                <w:lang w:val="en-US" w:eastAsia="zh-CN"/>
              </w:rPr>
            </w:pPr>
          </w:p>
        </w:tc>
      </w:tr>
      <w:bookmarkEnd w:id="0"/>
    </w:tbl>
    <w:p>
      <w:pPr>
        <w:widowControl w:val="0"/>
        <w:numPr>
          <w:ilvl w:val="0"/>
          <w:numId w:val="0"/>
        </w:numPr>
        <w:ind w:leftChars="0"/>
        <w:jc w:val="left"/>
        <w:rPr>
          <w:rFonts w:hint="eastAsia" w:ascii="仿宋" w:hAnsi="仿宋" w:eastAsia="仿宋" w:cs="仿宋"/>
          <w:b w:val="0"/>
          <w:bCs w:val="0"/>
          <w:sz w:val="22"/>
          <w:szCs w:val="22"/>
          <w:lang w:val="en-US" w:eastAsia="zh-CN"/>
        </w:rPr>
      </w:pPr>
      <w:r>
        <w:rPr>
          <w:rFonts w:hint="eastAsia" w:ascii="仿宋" w:hAnsi="仿宋" w:eastAsia="仿宋" w:cs="仿宋"/>
          <w:b w:val="0"/>
          <w:bCs w:val="0"/>
          <w:sz w:val="22"/>
          <w:szCs w:val="22"/>
          <w:lang w:val="en-US" w:eastAsia="zh-CN"/>
        </w:rPr>
        <w:t>注：1.项目名称填写2023年年初项目和2023年执行中新增项目，由年初调入资金安排但执行中新建项目库的项目算年初项目；2.年度预算数有预算数填写预算数，如果没有预算数或者预算调减按照调整预算数填写；3.内容描述填写项目情况；4.绩效目标填写具体绩效目标，项目有多个绩效目标的可插行。5.评价标准填写百分比，各项百分比加一起为100%。</w:t>
      </w:r>
    </w:p>
    <w:p>
      <w:pPr>
        <w:widowControl w:val="0"/>
        <w:numPr>
          <w:ilvl w:val="0"/>
          <w:numId w:val="0"/>
        </w:numPr>
        <w:ind w:leftChars="0"/>
        <w:jc w:val="left"/>
        <w:rPr>
          <w:rFonts w:hint="eastAsia" w:ascii="仿宋" w:hAnsi="仿宋" w:eastAsia="仿宋" w:cs="仿宋"/>
          <w:b w:val="0"/>
          <w:bCs w:val="0"/>
          <w:sz w:val="22"/>
          <w:szCs w:val="2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三、绩效评价组织情况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w:t>
      </w:r>
      <w:r>
        <w:rPr>
          <w:rFonts w:hint="eastAsia" w:ascii="仿宋_GB2312" w:eastAsia="仿宋_GB2312"/>
          <w:sz w:val="32"/>
          <w:szCs w:val="32"/>
          <w:lang w:val="en-US" w:eastAsia="zh-CN"/>
        </w:rPr>
        <w:t>基金财务科</w:t>
      </w:r>
      <w:r>
        <w:rPr>
          <w:rFonts w:hint="eastAsia" w:ascii="仿宋_GB2312" w:eastAsia="仿宋_GB2312"/>
          <w:sz w:val="32"/>
          <w:szCs w:val="32"/>
        </w:rPr>
        <w:t>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本次绩效评价项目</w:t>
      </w:r>
      <w:r>
        <w:rPr>
          <w:rFonts w:hint="eastAsia" w:ascii="仿宋" w:hAnsi="仿宋" w:eastAsia="仿宋" w:cs="仿宋"/>
          <w:b w:val="0"/>
          <w:bCs w:val="0"/>
          <w:sz w:val="32"/>
          <w:szCs w:val="32"/>
          <w:lang w:val="en-US" w:eastAsia="zh-CN"/>
        </w:rPr>
        <w:t>23</w:t>
      </w:r>
      <w:r>
        <w:rPr>
          <w:rFonts w:hint="default" w:ascii="仿宋" w:hAnsi="仿宋" w:eastAsia="仿宋" w:cs="仿宋"/>
          <w:b w:val="0"/>
          <w:bCs w:val="0"/>
          <w:sz w:val="32"/>
          <w:szCs w:val="32"/>
          <w:lang w:val="en-US" w:eastAsia="zh-CN"/>
        </w:rPr>
        <w:t>个，占部门项目总数的100%，涉及金额</w:t>
      </w:r>
      <w:r>
        <w:rPr>
          <w:rFonts w:hint="eastAsia" w:ascii="仿宋" w:hAnsi="仿宋" w:eastAsia="仿宋" w:cs="仿宋"/>
          <w:b w:val="0"/>
          <w:bCs w:val="0"/>
          <w:sz w:val="32"/>
          <w:szCs w:val="32"/>
          <w:lang w:val="en-US" w:eastAsia="zh-CN"/>
        </w:rPr>
        <w:t>58004.24</w:t>
      </w:r>
      <w:r>
        <w:rPr>
          <w:rFonts w:hint="default" w:ascii="仿宋" w:hAnsi="仿宋" w:eastAsia="仿宋" w:cs="仿宋"/>
          <w:b w:val="0"/>
          <w:bCs w:val="0"/>
          <w:sz w:val="32"/>
          <w:szCs w:val="32"/>
          <w:lang w:val="en-US" w:eastAsia="zh-CN"/>
        </w:rPr>
        <w:t>万元。采取成立本部门绩效自评工作组的形式本着客观、公正、公开的原则开展自评工作，所有项目的绩效自评均设计了合理、明晰、可考核的、关键性产出指标和效果指标。经自评各项绩效指标均达到中等以上水平。自评结果真实可靠。</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highlight w:val="yellow"/>
          <w:lang w:val="en-US" w:eastAsia="zh-CN" w:bidi="ar-SA"/>
        </w:rPr>
      </w:pPr>
      <w:r>
        <w:rPr>
          <w:rFonts w:hint="eastAsia" w:ascii="仿宋" w:hAnsi="仿宋" w:eastAsia="仿宋" w:cs="仿宋"/>
          <w:b/>
          <w:bCs/>
          <w:kern w:val="2"/>
          <w:sz w:val="32"/>
          <w:szCs w:val="32"/>
          <w:lang w:val="en-US" w:eastAsia="zh-CN" w:bidi="ar-SA"/>
        </w:rPr>
        <w:t>四、</w:t>
      </w:r>
      <w:r>
        <w:rPr>
          <w:rFonts w:hint="default" w:ascii="仿宋" w:hAnsi="仿宋" w:eastAsia="仿宋" w:cs="仿宋"/>
          <w:b/>
          <w:bCs/>
          <w:kern w:val="2"/>
          <w:sz w:val="32"/>
          <w:szCs w:val="32"/>
          <w:lang w:val="en-US" w:eastAsia="zh-CN" w:bidi="ar-SA"/>
        </w:rPr>
        <w:t>存在的问题</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color w:val="auto"/>
          <w:sz w:val="32"/>
          <w:szCs w:val="32"/>
          <w:highlight w:val="none"/>
          <w:lang w:val="en-US" w:eastAsia="zh-CN"/>
        </w:rPr>
      </w:pPr>
      <w:r>
        <w:rPr>
          <w:rFonts w:hint="default" w:ascii="仿宋" w:hAnsi="仿宋" w:eastAsia="仿宋" w:cs="仿宋"/>
          <w:b w:val="0"/>
          <w:bCs w:val="0"/>
          <w:color w:val="auto"/>
          <w:sz w:val="32"/>
          <w:szCs w:val="32"/>
          <w:highlight w:val="none"/>
          <w:lang w:val="en-US" w:eastAsia="zh-CN"/>
        </w:rPr>
        <w:t>1、部分项目资金支付进度滞后。</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color w:val="auto"/>
          <w:sz w:val="32"/>
          <w:szCs w:val="32"/>
          <w:highlight w:val="none"/>
          <w:lang w:val="en-US" w:eastAsia="zh-CN"/>
        </w:rPr>
      </w:pPr>
      <w:r>
        <w:rPr>
          <w:rFonts w:hint="default" w:ascii="仿宋" w:hAnsi="仿宋" w:eastAsia="仿宋" w:cs="仿宋"/>
          <w:b w:val="0"/>
          <w:bCs w:val="0"/>
          <w:color w:val="auto"/>
          <w:sz w:val="32"/>
          <w:szCs w:val="32"/>
          <w:highlight w:val="none"/>
          <w:lang w:val="en-US" w:eastAsia="zh-CN"/>
        </w:rPr>
        <w:t>2、内控制度需进一步完善，随着资金管理改革的进一步推进，我单位内部机构进行了相应的优化，建立健全了财务管理制度、固定资产管理制度、费用报销规程等制度，但仍需进一步强化财务约束监督体制。</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lang w:val="en-US" w:eastAsia="zh-CN" w:bidi="ar-SA"/>
        </w:rPr>
      </w:pPr>
      <w:r>
        <w:rPr>
          <w:rFonts w:hint="default" w:ascii="仿宋" w:hAnsi="仿宋" w:eastAsia="仿宋" w:cs="仿宋"/>
          <w:b/>
          <w:bCs/>
          <w:kern w:val="2"/>
          <w:sz w:val="32"/>
          <w:szCs w:val="32"/>
          <w:lang w:val="en-US" w:eastAsia="zh-CN" w:bidi="ar-SA"/>
        </w:rPr>
        <w:t>五、有关建议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1、科学合理编制预算，严格执行预算。进一步提高预算编制到位率，做准做全基本支出预算，做全项目支出预算，加强预算支出的审核、跟踪及预算执行情况分析，提高预算编制严谨性和可控性。</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2、进一步加强项目资金管理。严格实行项目管理程序化，实现项目申报、实施、拨付、评价全流程监督与控制，规范专项资金管理，提高专项资金的使用效益。</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default" w:ascii="仿宋" w:hAnsi="仿宋" w:eastAsia="仿宋" w:cs="仿宋"/>
          <w:b w:val="0"/>
          <w:bCs w:val="0"/>
          <w:sz w:val="32"/>
          <w:szCs w:val="32"/>
          <w:lang w:val="en-US" w:eastAsia="zh-CN"/>
        </w:rPr>
        <w:t>3、进一步完善内部管理制度，提升管理效能，更好地履行建设职能。</w:t>
      </w:r>
    </w:p>
    <w:p>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left"/>
        <w:textAlignment w:val="auto"/>
        <w:rPr>
          <w:rFonts w:hint="default" w:ascii="仿宋" w:hAnsi="仿宋" w:eastAsia="仿宋" w:cs="仿宋"/>
          <w:b/>
          <w:bCs/>
          <w:kern w:val="2"/>
          <w:sz w:val="32"/>
          <w:szCs w:val="32"/>
          <w:lang w:val="en-US" w:eastAsia="zh-CN" w:bidi="ar-SA"/>
        </w:rPr>
      </w:pPr>
      <w:r>
        <w:rPr>
          <w:rFonts w:hint="default" w:ascii="仿宋" w:hAnsi="仿宋" w:eastAsia="仿宋" w:cs="仿宋"/>
          <w:b/>
          <w:bCs/>
          <w:kern w:val="2"/>
          <w:sz w:val="32"/>
          <w:szCs w:val="32"/>
          <w:lang w:val="en-US" w:eastAsia="zh-CN" w:bidi="ar-SA"/>
        </w:rPr>
        <w:t>六、其他需要说明的问题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iMDJmNjhkNzI2NDBjZWVlOTUwMDRiNmQ2ODUzOTgifQ=="/>
  </w:docVars>
  <w:rsids>
    <w:rsidRoot w:val="18FD3CCE"/>
    <w:rsid w:val="18FD3CCE"/>
    <w:rsid w:val="267B706B"/>
    <w:rsid w:val="39B8262A"/>
    <w:rsid w:val="70E05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12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2024-04-16T00:15:00Z</dcterms:created>
  <dc:creator>Administrator</dc:creator>
  <cp:lastModifiedBy>Lenovo</cp:lastModifiedBy>
  <dcterms:modified xsi:type="dcterms:W3CDTF">2024-05-14T06:53:27Z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0A7EC778D19C4F6C8E2FF80F7B28F2E9_11</vt:lpwstr>
  </property>
</Properties>
</file>