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农广校  </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人员、公用类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8"/>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eastAsia="仿宋_GB2312"/>
          <w:sz w:val="32"/>
          <w:szCs w:val="32"/>
        </w:rPr>
        <w:t>（一）项目概况。</w:t>
      </w:r>
      <w:r>
        <w:rPr>
          <w:rFonts w:hint="eastAsia" w:ascii="仿宋_GB2312" w:hAnsi="Times New Roman" w:eastAsia="仿宋_GB2312" w:cs="Times New Roman"/>
          <w:kern w:val="2"/>
          <w:sz w:val="32"/>
          <w:szCs w:val="32"/>
          <w:lang w:val="en-US" w:eastAsia="zh-CN" w:bidi="ar-SA"/>
        </w:rPr>
        <w:t>具体承担中等学历教育、合作高等学历教育、农村实用技术培训和绿色证书工程、青年农民培训等任务；负责高素质农民科技培训，通过各种方式全面提高农民科技文化素质。及主管部门安排的其他工作。</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hAnsi="Times New Roman" w:eastAsia="仿宋_GB2312" w:cs="Times New Roman"/>
          <w:kern w:val="2"/>
          <w:sz w:val="32"/>
          <w:szCs w:val="32"/>
          <w:lang w:val="en-US" w:eastAsia="zh-CN" w:bidi="ar-SA"/>
        </w:rPr>
        <w:t>通过教学培训推广农业知识和新技术，提高农民及农村干部的科技文化素质。为农业和科教兴农服务、为农村社会经济建设服务、为农民科技致富服务、 为农村物质、精神文明建设服务。促进农业农村的发展</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600" w:lineRule="exact"/>
        <w:ind w:firstLine="640" w:firstLineChars="200"/>
        <w:rPr>
          <w:rFonts w:hint="default" w:ascii="仿宋_GB2312" w:eastAsia="仿宋_GB2312"/>
          <w:sz w:val="32"/>
          <w:szCs w:val="32"/>
          <w:lang w:val="en-US" w:eastAsia="zh-CN"/>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w:t>
      </w:r>
      <w:r>
        <w:rPr>
          <w:rFonts w:hint="eastAsia" w:ascii="仿宋" w:hAnsi="仿宋" w:eastAsia="仿宋" w:cs="仿宋"/>
          <w:sz w:val="32"/>
          <w:szCs w:val="32"/>
          <w:lang w:eastAsia="zh-CN"/>
        </w:rPr>
        <w:t>评价</w:t>
      </w:r>
      <w:r>
        <w:rPr>
          <w:rFonts w:hint="eastAsia" w:ascii="仿宋" w:hAnsi="仿宋" w:eastAsia="仿宋" w:cs="仿宋"/>
          <w:sz w:val="32"/>
          <w:szCs w:val="32"/>
        </w:rPr>
        <w:t>项目：</w:t>
      </w:r>
      <w:r>
        <w:rPr>
          <w:rFonts w:hint="eastAsia" w:ascii="仿宋" w:hAnsi="仿宋" w:eastAsia="仿宋" w:cs="仿宋"/>
          <w:sz w:val="32"/>
          <w:szCs w:val="32"/>
          <w:lang w:val="en-US" w:eastAsia="zh-CN"/>
        </w:rPr>
        <w:t>中央农业广播电视</w:t>
      </w:r>
      <w:r>
        <w:rPr>
          <w:rFonts w:hint="eastAsia" w:ascii="仿宋" w:hAnsi="仿宋" w:eastAsia="仿宋" w:cs="仿宋"/>
          <w:sz w:val="32"/>
          <w:szCs w:val="32"/>
          <w:lang w:eastAsia="zh-CN"/>
        </w:rPr>
        <w:t>学校人员及公用经费。</w:t>
      </w:r>
    </w:p>
    <w:p>
      <w:pPr>
        <w:numPr>
          <w:ilvl w:val="0"/>
          <w:numId w:val="0"/>
        </w:numPr>
        <w:spacing w:line="600" w:lineRule="exact"/>
        <w:rPr>
          <w:rFonts w:hint="eastAsia" w:ascii="仿宋_GB2312" w:eastAsia="仿宋_GB2312"/>
          <w:sz w:val="32"/>
          <w:szCs w:val="32"/>
        </w:rPr>
      </w:pP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numPr>
          <w:ilvl w:val="0"/>
          <w:numId w:val="0"/>
        </w:numPr>
        <w:spacing w:line="600" w:lineRule="exact"/>
        <w:ind w:leftChars="200"/>
        <w:rPr>
          <w:rFonts w:hint="eastAsia" w:ascii="仿宋_GB2312" w:eastAsia="仿宋_GB2312"/>
          <w:sz w:val="32"/>
          <w:szCs w:val="32"/>
        </w:rPr>
      </w:pPr>
      <w:r>
        <w:rPr>
          <w:rFonts w:hint="eastAsia" w:ascii="仿宋_GB2312" w:eastAsia="仿宋_GB2312"/>
          <w:sz w:val="32"/>
          <w:szCs w:val="32"/>
          <w:lang w:val="en-US" w:eastAsia="zh-CN"/>
        </w:rPr>
        <w:t>绩效评价</w:t>
      </w:r>
      <w:r>
        <w:rPr>
          <w:rFonts w:hint="eastAsia" w:ascii="仿宋_GB2312" w:eastAsia="仿宋_GB2312"/>
          <w:sz w:val="32"/>
          <w:szCs w:val="32"/>
        </w:rPr>
        <w:t>要遵守相关性与重要性基本原则，由于预算管理绩效评价指标与单位整体建设目标直接相关，能全面系统反映绩效目标完成的程度</w:t>
      </w:r>
      <w:r>
        <w:rPr>
          <w:rFonts w:hint="eastAsia" w:ascii="仿宋_GB2312" w:eastAsia="仿宋_GB2312"/>
          <w:sz w:val="32"/>
          <w:szCs w:val="32"/>
          <w:lang w:eastAsia="zh-CN"/>
        </w:rPr>
        <w:t>。</w:t>
      </w:r>
      <w:r>
        <w:rPr>
          <w:rFonts w:hint="eastAsia" w:ascii="仿宋_GB2312" w:eastAsia="仿宋_GB2312"/>
          <w:sz w:val="32"/>
          <w:szCs w:val="32"/>
        </w:rPr>
        <w:t>其次，要遵守定量与定性基本原则</w:t>
      </w:r>
      <w:r>
        <w:rPr>
          <w:rFonts w:hint="eastAsia" w:ascii="仿宋_GB2312" w:eastAsia="仿宋_GB2312"/>
          <w:sz w:val="32"/>
          <w:szCs w:val="32"/>
          <w:lang w:eastAsia="zh-CN"/>
        </w:rPr>
        <w:t>。</w:t>
      </w:r>
      <w:r>
        <w:rPr>
          <w:rFonts w:hint="eastAsia" w:ascii="仿宋_GB2312" w:eastAsia="仿宋_GB2312"/>
          <w:sz w:val="32"/>
          <w:szCs w:val="32"/>
        </w:rPr>
        <w:t>再次，要遵守经济性与社会性基本原则，行政事业单位的预算管理绩效评价应该从成本控制与效率维度两个角度进行考</w:t>
      </w:r>
      <w:r>
        <w:rPr>
          <w:rFonts w:hint="eastAsia" w:ascii="仿宋_GB2312" w:eastAsia="仿宋_GB2312"/>
          <w:sz w:val="32"/>
          <w:szCs w:val="32"/>
          <w:lang w:eastAsia="zh-CN"/>
        </w:rPr>
        <w:t>。</w:t>
      </w:r>
      <w:r>
        <w:rPr>
          <w:rFonts w:hint="eastAsia" w:ascii="仿宋_GB2312" w:eastAsia="仿宋_GB2312"/>
          <w:sz w:val="32"/>
          <w:szCs w:val="32"/>
        </w:rPr>
        <w:t>最后，是绩效评价与指导发展基本原则，要注重对指标体系的激励与导向作用，确保预算绩效能为服务事业做出贡献。</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绩效自评指标体系</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1.绩效自评指标</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部门整体支出绩效评价指标体系共分为</w:t>
      </w:r>
      <w:r>
        <w:rPr>
          <w:rFonts w:hint="eastAsia" w:ascii="仿宋" w:hAnsi="仿宋" w:eastAsia="仿宋"/>
          <w:sz w:val="32"/>
          <w:szCs w:val="32"/>
          <w:lang w:val="en-US" w:eastAsia="zh-CN"/>
        </w:rPr>
        <w:t>3</w:t>
      </w:r>
      <w:r>
        <w:rPr>
          <w:rFonts w:hint="eastAsia" w:ascii="仿宋" w:hAnsi="仿宋" w:eastAsia="仿宋"/>
          <w:sz w:val="32"/>
          <w:szCs w:val="32"/>
        </w:rPr>
        <w:t>个一级指标，包括</w:t>
      </w:r>
      <w:r>
        <w:rPr>
          <w:rFonts w:hint="eastAsia" w:ascii="仿宋" w:hAnsi="仿宋" w:eastAsia="仿宋"/>
          <w:sz w:val="32"/>
          <w:szCs w:val="32"/>
          <w:lang w:val="en-US" w:eastAsia="zh-CN"/>
        </w:rPr>
        <w:t>产出、效益、满意度指标</w:t>
      </w:r>
      <w:r>
        <w:rPr>
          <w:rFonts w:hint="eastAsia" w:ascii="仿宋" w:hAnsi="仿宋" w:eastAsia="仿宋"/>
          <w:sz w:val="32"/>
          <w:szCs w:val="32"/>
        </w:rPr>
        <w:t>；</w:t>
      </w:r>
      <w:r>
        <w:rPr>
          <w:rFonts w:hint="eastAsia" w:ascii="仿宋" w:hAnsi="仿宋" w:eastAsia="仿宋"/>
          <w:sz w:val="32"/>
          <w:szCs w:val="32"/>
          <w:lang w:val="en-US" w:eastAsia="zh-CN"/>
        </w:rPr>
        <w:t>8</w:t>
      </w:r>
      <w:r>
        <w:rPr>
          <w:rFonts w:hint="eastAsia" w:ascii="仿宋" w:hAnsi="仿宋" w:eastAsia="仿宋"/>
          <w:sz w:val="32"/>
          <w:szCs w:val="32"/>
        </w:rPr>
        <w:t>个二级指标，包括</w:t>
      </w:r>
      <w:r>
        <w:rPr>
          <w:rFonts w:hint="eastAsia" w:ascii="仿宋" w:hAnsi="仿宋" w:eastAsia="仿宋"/>
          <w:sz w:val="32"/>
          <w:szCs w:val="32"/>
          <w:lang w:val="en-US" w:eastAsia="zh-CN"/>
        </w:rPr>
        <w:t>数量指标、质量指标、时效指标、成本指标、经济效益指标、社会效益指标、生态效益指标、可持续影响指标、满意度指标。</w:t>
      </w:r>
    </w:p>
    <w:p>
      <w:pPr>
        <w:spacing w:line="600" w:lineRule="atLeast"/>
        <w:rPr>
          <w:rFonts w:hint="eastAsia" w:ascii="仿宋" w:hAnsi="仿宋" w:eastAsia="仿宋"/>
          <w:sz w:val="32"/>
          <w:szCs w:val="32"/>
        </w:rPr>
      </w:pPr>
      <w:r>
        <w:rPr>
          <w:rFonts w:hint="eastAsia" w:ascii="仿宋" w:hAnsi="仿宋" w:eastAsia="仿宋"/>
          <w:sz w:val="32"/>
          <w:szCs w:val="32"/>
        </w:rPr>
        <w:t>　</w:t>
      </w:r>
      <w:r>
        <w:rPr>
          <w:rFonts w:hint="eastAsia" w:ascii="仿宋" w:hAnsi="仿宋" w:eastAsia="仿宋"/>
          <w:sz w:val="32"/>
          <w:szCs w:val="32"/>
          <w:lang w:val="en-US" w:eastAsia="zh-CN"/>
        </w:rPr>
        <w:t xml:space="preserve"> </w:t>
      </w:r>
      <w:r>
        <w:rPr>
          <w:rFonts w:hint="eastAsia" w:ascii="仿宋" w:hAnsi="仿宋" w:eastAsia="仿宋"/>
          <w:sz w:val="32"/>
          <w:szCs w:val="32"/>
        </w:rPr>
        <w:t>2.指标分值权重</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lang w:val="en-US" w:eastAsia="zh-CN"/>
        </w:rPr>
        <w:t>产出</w:t>
      </w:r>
      <w:r>
        <w:rPr>
          <w:rFonts w:hint="eastAsia" w:ascii="仿宋" w:hAnsi="仿宋" w:eastAsia="仿宋"/>
          <w:sz w:val="32"/>
          <w:szCs w:val="32"/>
        </w:rPr>
        <w:t>指标权重占</w:t>
      </w:r>
      <w:r>
        <w:rPr>
          <w:rFonts w:hint="eastAsia" w:ascii="仿宋" w:hAnsi="仿宋" w:eastAsia="仿宋"/>
          <w:sz w:val="32"/>
          <w:szCs w:val="32"/>
          <w:lang w:val="en-US" w:eastAsia="zh-CN"/>
        </w:rPr>
        <w:t>50</w:t>
      </w:r>
      <w:r>
        <w:rPr>
          <w:rFonts w:hint="eastAsia" w:ascii="仿宋" w:hAnsi="仿宋" w:eastAsia="仿宋"/>
          <w:sz w:val="32"/>
          <w:szCs w:val="32"/>
        </w:rPr>
        <w:t>%，</w:t>
      </w:r>
      <w:r>
        <w:rPr>
          <w:rFonts w:hint="eastAsia" w:ascii="仿宋" w:hAnsi="仿宋" w:eastAsia="仿宋"/>
          <w:sz w:val="32"/>
          <w:szCs w:val="32"/>
          <w:lang w:val="en-US" w:eastAsia="zh-CN"/>
        </w:rPr>
        <w:t>效益</w:t>
      </w:r>
      <w:r>
        <w:rPr>
          <w:rFonts w:hint="eastAsia" w:ascii="仿宋" w:hAnsi="仿宋" w:eastAsia="仿宋"/>
          <w:sz w:val="32"/>
          <w:szCs w:val="32"/>
        </w:rPr>
        <w:t>指标权重占</w:t>
      </w:r>
      <w:r>
        <w:rPr>
          <w:rFonts w:hint="eastAsia" w:ascii="仿宋" w:hAnsi="仿宋" w:eastAsia="仿宋"/>
          <w:sz w:val="32"/>
          <w:szCs w:val="32"/>
          <w:lang w:val="en-US" w:eastAsia="zh-CN"/>
        </w:rPr>
        <w:t>40</w:t>
      </w:r>
      <w:r>
        <w:rPr>
          <w:rFonts w:hint="eastAsia" w:ascii="仿宋" w:hAnsi="仿宋" w:eastAsia="仿宋"/>
          <w:sz w:val="32"/>
          <w:szCs w:val="32"/>
        </w:rPr>
        <w:t>%，</w:t>
      </w:r>
      <w:r>
        <w:rPr>
          <w:rFonts w:hint="eastAsia" w:ascii="仿宋" w:hAnsi="仿宋" w:eastAsia="仿宋"/>
          <w:sz w:val="32"/>
          <w:szCs w:val="32"/>
          <w:lang w:val="en-US" w:eastAsia="zh-CN"/>
        </w:rPr>
        <w:t>满意度</w:t>
      </w:r>
      <w:r>
        <w:rPr>
          <w:rFonts w:hint="eastAsia" w:ascii="仿宋" w:hAnsi="仿宋" w:eastAsia="仿宋"/>
          <w:sz w:val="32"/>
          <w:szCs w:val="32"/>
        </w:rPr>
        <w:t>指标权重占</w:t>
      </w:r>
      <w:r>
        <w:rPr>
          <w:rFonts w:hint="eastAsia" w:ascii="仿宋" w:hAnsi="仿宋" w:eastAsia="仿宋"/>
          <w:sz w:val="32"/>
          <w:szCs w:val="32"/>
          <w:lang w:val="en-US" w:eastAsia="zh-CN"/>
        </w:rPr>
        <w:t>10</w:t>
      </w:r>
      <w:r>
        <w:rPr>
          <w:rFonts w:hint="eastAsia" w:ascii="仿宋" w:hAnsi="仿宋" w:eastAsia="仿宋"/>
          <w:sz w:val="32"/>
          <w:szCs w:val="32"/>
        </w:rPr>
        <w:t>%。</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3.评价标准</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4.数据来源</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绩效自评指标体系中评分时所需要的数据，主要包括国家、省委省政府、部门行业相关文件，部门中长期规划、部门决算报表，预算执行统计数据、资金下达文件、财务检查核实相关数据、审计报告、资金管理制度、财务管理制度、资金拨付凭证、原始凭证等财务资料、会计资料及其他相关佐证资料、开展自评工作的组织实施文件（通知）、资产管理制度及审计报告、20</w:t>
      </w:r>
      <w:r>
        <w:rPr>
          <w:rFonts w:hint="eastAsia" w:ascii="仿宋" w:hAnsi="仿宋" w:eastAsia="仿宋"/>
          <w:sz w:val="32"/>
          <w:szCs w:val="32"/>
          <w:lang w:val="en-US" w:eastAsia="zh-CN"/>
        </w:rPr>
        <w:t>23</w:t>
      </w:r>
      <w:r>
        <w:rPr>
          <w:rFonts w:hint="eastAsia" w:ascii="仿宋" w:hAnsi="仿宋" w:eastAsia="仿宋"/>
          <w:sz w:val="32"/>
          <w:szCs w:val="32"/>
        </w:rPr>
        <w:t>年部门工作总结报告、问卷调查等。</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结合本次绩效自评项目的具体情况，为确保自评工作的真实可靠，本次自评主要通过审阅资料、现场部门沟通、问卷调查、数据分析等方法进行评价。</w:t>
      </w:r>
    </w:p>
    <w:p>
      <w:pPr>
        <w:spacing w:line="600" w:lineRule="exact"/>
        <w:ind w:firstLine="640" w:firstLineChars="200"/>
        <w:rPr>
          <w:rFonts w:ascii="仿宋_GB2312" w:eastAsia="仿宋_GB2312"/>
          <w:sz w:val="32"/>
          <w:szCs w:val="32"/>
        </w:rPr>
      </w:pPr>
    </w:p>
    <w:p>
      <w:pPr>
        <w:numPr>
          <w:ilvl w:val="0"/>
          <w:numId w:val="2"/>
        </w:numPr>
        <w:spacing w:line="600" w:lineRule="atLeas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atLeast"/>
        <w:ind w:firstLine="640" w:firstLineChars="200"/>
        <w:rPr>
          <w:rFonts w:hint="default" w:eastAsia="黑体"/>
          <w:sz w:val="32"/>
          <w:szCs w:val="32"/>
          <w:lang w:val="en-US"/>
        </w:rPr>
      </w:pPr>
      <w:r>
        <w:rPr>
          <w:rFonts w:hint="eastAsia" w:ascii="仿宋" w:hAnsi="仿宋" w:eastAsia="仿宋"/>
          <w:b w:val="0"/>
          <w:bCs w:val="0"/>
          <w:sz w:val="32"/>
          <w:szCs w:val="32"/>
          <w:lang w:eastAsia="zh-CN"/>
        </w:rPr>
        <w:t>对202</w:t>
      </w:r>
      <w:r>
        <w:rPr>
          <w:rFonts w:hint="eastAsia" w:ascii="仿宋" w:hAnsi="仿宋" w:eastAsia="仿宋"/>
          <w:b w:val="0"/>
          <w:bCs w:val="0"/>
          <w:sz w:val="32"/>
          <w:szCs w:val="32"/>
          <w:lang w:val="en-US" w:eastAsia="zh-CN"/>
        </w:rPr>
        <w:t>3</w:t>
      </w:r>
      <w:r>
        <w:rPr>
          <w:rFonts w:hint="eastAsia" w:ascii="仿宋" w:hAnsi="仿宋" w:eastAsia="仿宋"/>
          <w:b w:val="0"/>
          <w:bCs w:val="0"/>
          <w:sz w:val="32"/>
          <w:szCs w:val="32"/>
          <w:lang w:eastAsia="zh-CN"/>
        </w:rPr>
        <w:t>年人员及公用经费项目全面开展了绩效自评，较好得完成了预算执行任务，综合得分9</w:t>
      </w:r>
      <w:r>
        <w:rPr>
          <w:rFonts w:hint="eastAsia" w:ascii="仿宋" w:hAnsi="仿宋" w:eastAsia="仿宋"/>
          <w:b w:val="0"/>
          <w:bCs w:val="0"/>
          <w:sz w:val="32"/>
          <w:szCs w:val="32"/>
          <w:lang w:val="en-US" w:eastAsia="zh-CN"/>
        </w:rPr>
        <w:t>4</w:t>
      </w:r>
      <w:r>
        <w:rPr>
          <w:rFonts w:hint="eastAsia" w:ascii="仿宋" w:hAnsi="仿宋" w:eastAsia="仿宋"/>
          <w:b w:val="0"/>
          <w:bCs w:val="0"/>
          <w:sz w:val="32"/>
          <w:szCs w:val="32"/>
          <w:lang w:eastAsia="zh-CN"/>
        </w:rPr>
        <w:t>分，其中数量指标</w:t>
      </w:r>
      <w:r>
        <w:rPr>
          <w:rFonts w:hint="eastAsia" w:ascii="仿宋" w:hAnsi="仿宋" w:eastAsia="仿宋"/>
          <w:b w:val="0"/>
          <w:bCs w:val="0"/>
          <w:sz w:val="32"/>
          <w:szCs w:val="32"/>
          <w:lang w:val="en-US" w:eastAsia="zh-CN"/>
        </w:rPr>
        <w:t>10分，</w:t>
      </w:r>
      <w:r>
        <w:rPr>
          <w:rFonts w:hint="eastAsia" w:ascii="仿宋" w:hAnsi="仿宋" w:eastAsia="仿宋"/>
          <w:b w:val="0"/>
          <w:bCs w:val="0"/>
          <w:sz w:val="32"/>
          <w:szCs w:val="32"/>
          <w:lang w:eastAsia="zh-CN"/>
        </w:rPr>
        <w:t>质量指标</w:t>
      </w:r>
      <w:r>
        <w:rPr>
          <w:rFonts w:hint="eastAsia" w:ascii="仿宋" w:hAnsi="仿宋" w:eastAsia="仿宋"/>
          <w:b w:val="0"/>
          <w:bCs w:val="0"/>
          <w:sz w:val="32"/>
          <w:szCs w:val="32"/>
          <w:lang w:val="en-US" w:eastAsia="zh-CN"/>
        </w:rPr>
        <w:t>10</w:t>
      </w:r>
      <w:r>
        <w:rPr>
          <w:rFonts w:hint="eastAsia" w:ascii="仿宋" w:hAnsi="仿宋" w:eastAsia="仿宋"/>
          <w:b w:val="0"/>
          <w:bCs w:val="0"/>
          <w:sz w:val="32"/>
          <w:szCs w:val="32"/>
          <w:lang w:eastAsia="zh-CN"/>
        </w:rPr>
        <w:t>分，时效指标</w:t>
      </w:r>
      <w:r>
        <w:rPr>
          <w:rFonts w:hint="eastAsia" w:ascii="仿宋" w:hAnsi="仿宋" w:eastAsia="仿宋"/>
          <w:b w:val="0"/>
          <w:bCs w:val="0"/>
          <w:sz w:val="32"/>
          <w:szCs w:val="32"/>
          <w:lang w:val="en-US" w:eastAsia="zh-CN"/>
        </w:rPr>
        <w:t>18</w:t>
      </w:r>
      <w:r>
        <w:rPr>
          <w:rFonts w:hint="eastAsia" w:ascii="仿宋" w:hAnsi="仿宋" w:eastAsia="仿宋"/>
          <w:b w:val="0"/>
          <w:bCs w:val="0"/>
          <w:sz w:val="32"/>
          <w:szCs w:val="32"/>
          <w:lang w:eastAsia="zh-CN"/>
        </w:rPr>
        <w:t>分，成本指标</w:t>
      </w:r>
      <w:r>
        <w:rPr>
          <w:rFonts w:hint="eastAsia" w:ascii="仿宋" w:hAnsi="仿宋" w:eastAsia="仿宋"/>
          <w:b w:val="0"/>
          <w:bCs w:val="0"/>
          <w:sz w:val="32"/>
          <w:szCs w:val="32"/>
          <w:lang w:val="en-US" w:eastAsia="zh-CN"/>
        </w:rPr>
        <w:t>10</w:t>
      </w:r>
      <w:r>
        <w:rPr>
          <w:rFonts w:hint="eastAsia" w:ascii="仿宋" w:hAnsi="仿宋" w:eastAsia="仿宋"/>
          <w:b w:val="0"/>
          <w:bCs w:val="0"/>
          <w:sz w:val="32"/>
          <w:szCs w:val="32"/>
          <w:lang w:eastAsia="zh-CN"/>
        </w:rPr>
        <w:t>分，经济效益</w:t>
      </w:r>
      <w:r>
        <w:rPr>
          <w:rFonts w:hint="default" w:ascii="仿宋" w:hAnsi="仿宋" w:eastAsia="仿宋"/>
          <w:b w:val="0"/>
          <w:bCs w:val="0"/>
          <w:sz w:val="32"/>
          <w:szCs w:val="32"/>
          <w:lang w:val="en-US" w:eastAsia="zh-CN"/>
        </w:rPr>
        <w:t>10</w:t>
      </w:r>
      <w:r>
        <w:rPr>
          <w:rFonts w:hint="eastAsia" w:ascii="仿宋" w:hAnsi="仿宋" w:eastAsia="仿宋"/>
          <w:b w:val="0"/>
          <w:bCs w:val="0"/>
          <w:sz w:val="32"/>
          <w:szCs w:val="32"/>
          <w:lang w:val="en-US" w:eastAsia="zh-CN"/>
        </w:rPr>
        <w:t>分，社会效益13分，可持续影响13分，服务对象满意度10分。</w:t>
      </w:r>
    </w:p>
    <w:p>
      <w:pPr>
        <w:spacing w:line="600" w:lineRule="exact"/>
        <w:ind w:firstLine="640" w:firstLineChars="200"/>
        <w:rPr>
          <w:rFonts w:eastAsia="黑体"/>
          <w:sz w:val="32"/>
          <w:szCs w:val="32"/>
        </w:rPr>
      </w:pP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8"/>
        <w:ind w:firstLine="320" w:firstLineChars="100"/>
        <w:rPr>
          <w:rFonts w:hint="default" w:ascii="仿宋_GB2312" w:hAnsi="Times New Roman" w:eastAsia="仿宋_GB2312" w:cs="Times New Roman"/>
          <w:kern w:val="2"/>
          <w:sz w:val="32"/>
          <w:szCs w:val="32"/>
          <w:lang w:val="en-US" w:eastAsia="zh-CN" w:bidi="ar-SA"/>
        </w:rPr>
      </w:pPr>
      <w:r>
        <w:rPr>
          <w:rFonts w:hint="eastAsia" w:ascii="仿宋_GB2312" w:eastAsia="仿宋_GB2312"/>
          <w:sz w:val="32"/>
          <w:szCs w:val="32"/>
        </w:rPr>
        <w:t>（一）项目决策情况。</w:t>
      </w:r>
      <w:r>
        <w:rPr>
          <w:rFonts w:hint="eastAsia" w:ascii="仿宋_GB2312" w:eastAsia="仿宋_GB2312"/>
          <w:sz w:val="32"/>
          <w:szCs w:val="32"/>
          <w:lang w:eastAsia="zh-CN"/>
        </w:rPr>
        <w:t>（项目目标、决策过程、决策依据、资金分配办法、资金分配结果）</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numPr>
          <w:ilvl w:val="0"/>
          <w:numId w:val="3"/>
        </w:numPr>
        <w:spacing w:line="540" w:lineRule="exact"/>
        <w:ind w:firstLine="640" w:firstLineChars="200"/>
        <w:outlineLvl w:val="0"/>
        <w:rPr>
          <w:rFonts w:hint="eastAsia" w:ascii="仿宋" w:hAnsi="仿宋" w:eastAsia="仿宋" w:cs="仿宋"/>
          <w:sz w:val="32"/>
          <w:szCs w:val="32"/>
        </w:rPr>
      </w:pPr>
      <w:r>
        <w:rPr>
          <w:rFonts w:hint="eastAsia" w:ascii="仿宋_GB2312" w:eastAsia="仿宋_GB2312"/>
          <w:sz w:val="32"/>
          <w:szCs w:val="32"/>
        </w:rPr>
        <w:t>项目过程情况。</w:t>
      </w:r>
      <w:r>
        <w:rPr>
          <w:rFonts w:hint="eastAsia" w:ascii="仿宋_GB2312" w:eastAsia="仿宋_GB2312"/>
          <w:sz w:val="32"/>
          <w:szCs w:val="32"/>
          <w:lang w:eastAsia="zh-CN"/>
        </w:rPr>
        <w:t>（资金到位率、财务管理、资金使用、组织机构、管理制度）</w:t>
      </w:r>
      <w:r>
        <w:rPr>
          <w:rFonts w:hint="eastAsia" w:ascii="仿宋" w:hAnsi="仿宋" w:eastAsia="仿宋" w:cs="仿宋"/>
          <w:sz w:val="32"/>
          <w:szCs w:val="32"/>
        </w:rPr>
        <w:t>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600" w:lineRule="exact"/>
        <w:ind w:firstLine="640" w:firstLineChars="200"/>
        <w:outlineLvl w:val="0"/>
        <w:rPr>
          <w:rFonts w:hint="eastAsia" w:ascii="仿宋_GB2312" w:eastAsia="仿宋_GB2312"/>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leftChars="0" w:firstLine="640" w:firstLineChars="200"/>
        <w:jc w:val="left"/>
        <w:textAlignment w:val="auto"/>
        <w:outlineLvl w:val="0"/>
        <w:rPr>
          <w:rFonts w:hint="eastAsia" w:ascii="仿宋" w:hAnsi="仿宋" w:eastAsia="仿宋" w:cs="仿宋"/>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w:t>
      </w:r>
      <w:r>
        <w:rPr>
          <w:rFonts w:hint="eastAsia" w:ascii="仿宋" w:hAnsi="仿宋" w:eastAsia="仿宋" w:cs="仿宋"/>
          <w:sz w:val="32"/>
          <w:szCs w:val="32"/>
        </w:rPr>
        <w:t>项目实施的实际产出数与计划产出数的比率相符。质量达标产出数一定时期（本年度或项目期）内实际达到既定质量标准的产品或服务数量。实际完成时间、计划完成时间反映和考核项目产出时效目标的实现程度。完成项目计划工作目标的实际节约成本与计划成本的比率，考核项目的成本节约程度。</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w:t>
      </w:r>
      <w:r>
        <w:rPr>
          <w:rFonts w:hint="eastAsia" w:ascii="仿宋_GB2312" w:eastAsia="仿宋_GB2312"/>
          <w:sz w:val="32"/>
          <w:szCs w:val="32"/>
          <w:lang w:val="en-US" w:eastAsia="zh-CN"/>
        </w:rPr>
        <w:t>通过教育培训，技术推广等，使农民和学员学到了新的知识、新技术，各方面综合素质得以提升。专业技能的提升在生产实践中提高了生产经营能力，在一定程度上带动了地方农业经济发展，经济效益有所提升。农业生产过程中更注重农业环境保护等，在社会效益、经济效益和现代化农业可持续发展方面取得了一定成效。</w:t>
      </w:r>
    </w:p>
    <w:p>
      <w:pPr>
        <w:spacing w:line="600" w:lineRule="exact"/>
        <w:ind w:firstLine="640" w:firstLineChars="200"/>
        <w:rPr>
          <w:rFonts w:hint="eastAsia" w:ascii="仿宋" w:hAnsi="仿宋" w:eastAsia="仿宋"/>
          <w:b w:val="0"/>
          <w:bCs w:val="0"/>
          <w:sz w:val="32"/>
          <w:szCs w:val="32"/>
          <w:lang w:eastAsia="zh-CN"/>
        </w:rPr>
      </w:pPr>
      <w:r>
        <w:rPr>
          <w:rFonts w:hint="eastAsia" w:eastAsia="黑体"/>
          <w:sz w:val="32"/>
          <w:szCs w:val="32"/>
        </w:rPr>
        <w:t>五、主要经验及做法、存在的问题及原因分析</w:t>
      </w:r>
      <w:r>
        <w:rPr>
          <w:rFonts w:hint="eastAsia" w:ascii="仿宋" w:hAnsi="仿宋" w:eastAsia="仿宋"/>
          <w:b w:val="0"/>
          <w:bCs w:val="0"/>
          <w:sz w:val="32"/>
          <w:szCs w:val="32"/>
          <w:lang w:eastAsia="zh-CN"/>
        </w:rPr>
        <w:t>统筹规划、目标引领，合理设定年度绩效目标。年度履职目标编制科学，绩效指标设定基本明确。绩效目标符合国家法律法规、国民经济和社会发展总体规划、部门“三定”方案确定的职责、部门制定的中长期实施规划和部门年度工作任务。</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color w:val="FF0000"/>
          <w:sz w:val="32"/>
          <w:szCs w:val="32"/>
          <w:highlight w:val="yellow"/>
          <w:lang w:val="en-US" w:eastAsia="zh-CN"/>
        </w:rPr>
      </w:pPr>
      <w:r>
        <w:rPr>
          <w:rFonts w:hint="default" w:ascii="仿宋" w:hAnsi="仿宋" w:eastAsia="仿宋" w:cs="仿宋"/>
          <w:b w:val="0"/>
          <w:bCs w:val="0"/>
          <w:color w:val="000000" w:themeColor="text1"/>
          <w:sz w:val="32"/>
          <w:szCs w:val="32"/>
          <w:highlight w:val="none"/>
          <w:lang w:val="en-US" w:eastAsia="zh-CN"/>
          <w14:textFill>
            <w14:solidFill>
              <w14:schemeClr w14:val="tx1"/>
            </w14:solidFill>
          </w14:textFill>
        </w:rPr>
        <w:t>部分资金支付进度滞后</w:t>
      </w:r>
      <w:r>
        <w:rPr>
          <w:rFonts w:hint="eastAsia" w:ascii="仿宋" w:hAnsi="仿宋" w:eastAsia="仿宋" w:cs="仿宋"/>
          <w:b w:val="0"/>
          <w:bCs w:val="0"/>
          <w:color w:val="000000" w:themeColor="text1"/>
          <w:sz w:val="32"/>
          <w:szCs w:val="32"/>
          <w:highlight w:val="none"/>
          <w:lang w:val="en-US" w:eastAsia="zh-CN"/>
          <w14:textFill>
            <w14:solidFill>
              <w14:schemeClr w14:val="tx1"/>
            </w14:solidFill>
          </w14:textFill>
        </w:rPr>
        <w:t>、预算执行不均衡</w:t>
      </w:r>
      <w:r>
        <w:rPr>
          <w:rFonts w:hint="default" w:ascii="仿宋" w:hAnsi="仿宋" w:eastAsia="仿宋" w:cs="仿宋"/>
          <w:b w:val="0"/>
          <w:bCs w:val="0"/>
          <w:color w:val="000000" w:themeColor="text1"/>
          <w:sz w:val="32"/>
          <w:szCs w:val="32"/>
          <w:highlight w:val="none"/>
          <w:lang w:val="en-US" w:eastAsia="zh-CN"/>
          <w14:textFill>
            <w14:solidFill>
              <w14:schemeClr w14:val="tx1"/>
            </w14:solidFill>
          </w14:textFill>
        </w:rPr>
        <w:t>。</w:t>
      </w:r>
      <w:r>
        <w:rPr>
          <w:rFonts w:hint="default" w:ascii="仿宋" w:hAnsi="仿宋" w:eastAsia="仿宋" w:cs="仿宋"/>
          <w:b w:val="0"/>
          <w:bCs w:val="0"/>
          <w:color w:val="auto"/>
          <w:sz w:val="32"/>
          <w:szCs w:val="32"/>
          <w:highlight w:val="none"/>
          <w:lang w:val="en-US" w:eastAsia="zh-CN"/>
        </w:rPr>
        <w:t>内控制度需进一步完善，随着资金管理改革的进一步推进，我单位内部机构进行了相应的优化，建立健全了财务管理制度、固定资产管理制度、费用报销规程等制度，但仍需进一步强化财务约束监督体制。</w:t>
      </w:r>
    </w:p>
    <w:p>
      <w:bookmarkStart w:id="0" w:name="_GoBack"/>
      <w:bookmarkEnd w:id="0"/>
    </w:p>
    <w:p>
      <w:pPr>
        <w:spacing w:line="600" w:lineRule="exact"/>
        <w:ind w:firstLine="640" w:firstLineChars="200"/>
        <w:rPr>
          <w:rFonts w:eastAsia="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6253EC"/>
    <w:multiLevelType w:val="singleLevel"/>
    <w:tmpl w:val="8F6253EC"/>
    <w:lvl w:ilvl="0" w:tentative="0">
      <w:start w:val="2"/>
      <w:numFmt w:val="chineseCounting"/>
      <w:suff w:val="nothing"/>
      <w:lvlText w:val="（%1）"/>
      <w:lvlJc w:val="left"/>
      <w:rPr>
        <w:rFonts w:hint="eastAsia"/>
      </w:rPr>
    </w:lvl>
  </w:abstractNum>
  <w:abstractNum w:abstractNumId="1">
    <w:nsid w:val="125D48BF"/>
    <w:multiLevelType w:val="singleLevel"/>
    <w:tmpl w:val="125D48BF"/>
    <w:lvl w:ilvl="0" w:tentative="0">
      <w:start w:val="2"/>
      <w:numFmt w:val="chineseCounting"/>
      <w:suff w:val="nothing"/>
      <w:lvlText w:val="（%1）"/>
      <w:lvlJc w:val="left"/>
      <w:rPr>
        <w:rFonts w:hint="eastAsia"/>
      </w:rPr>
    </w:lvl>
  </w:abstractNum>
  <w:abstractNum w:abstractNumId="2">
    <w:nsid w:val="6B36AC8A"/>
    <w:multiLevelType w:val="singleLevel"/>
    <w:tmpl w:val="6B36AC8A"/>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1851811"/>
    <w:rsid w:val="44787793"/>
    <w:rsid w:val="4595474B"/>
    <w:rsid w:val="49D67DF9"/>
    <w:rsid w:val="51D879E2"/>
    <w:rsid w:val="551B5092"/>
    <w:rsid w:val="587F7F39"/>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Normal]"/>
    <w:qFormat/>
    <w:uiPriority w:val="0"/>
    <w:rPr>
      <w:rFonts w:ascii="宋体" w:hAnsi="宋体" w:eastAsia="宋体" w:cs="Times New Roman"/>
      <w:kern w:val="0"/>
      <w:sz w:val="24"/>
      <w:szCs w:val="20"/>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cp:lastModifiedBy>
  <cp:lastPrinted>2022-07-11T08:06:00Z</cp:lastPrinted>
  <dcterms:modified xsi:type="dcterms:W3CDTF">2024-04-18T07:35:52Z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