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房屋征收中心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西王庄、彭桥南侧、彭桥村、富乐村、供销社公房区域过渡费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按照玉征收呈〔2022〕43号《关于拨付供销社工房区域过渡费补助的请示》申请拨付资金40万元；按照玉征收呈〔2023〕3号《关于拨付彭桥村过渡费补助的请示》申请拨付资金95.85万元；按照玉征收呈〔2023〕4号《关于拨付富乐村区域过渡费补助的请示》申请拨付资金94.95万元；按照玉征收呈〔2023〕5号《关于拨付彭桥南侧过渡费补助的请示》申请拨付资金33.3万元；按照玉征收呈〔2023〕6号《关于拨付西王庄村区域过渡费补助的请示》申请拨付资金71.55万元。共计申请拨付资金322.2万元。</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eastAsia="黑体"/>
          <w:sz w:val="32"/>
          <w:szCs w:val="32"/>
        </w:rPr>
      </w:pPr>
      <w:r>
        <w:rPr>
          <w:rFonts w:hint="eastAsia" w:ascii="仿宋_GB2312" w:eastAsia="仿宋_GB2312"/>
          <w:sz w:val="32"/>
          <w:szCs w:val="32"/>
        </w:rPr>
        <w:t>及时准确支付西王庄、彭桥南侧、彭桥村、富乐村、供销社公房区域过渡费</w:t>
      </w:r>
      <w:r>
        <w:rPr>
          <w:rFonts w:hint="eastAsia" w:ascii="仿宋_GB2312" w:eastAsia="仿宋_GB2312"/>
          <w:sz w:val="32"/>
          <w:szCs w:val="32"/>
          <w:lang w:eastAsia="zh-CN"/>
        </w:rPr>
        <w:t>。</w:t>
      </w:r>
    </w:p>
    <w:p>
      <w:pPr>
        <w:spacing w:line="600" w:lineRule="exact"/>
        <w:ind w:firstLine="640" w:firstLineChars="200"/>
        <w:rPr>
          <w:rFonts w:hint="eastAsia" w:eastAsia="黑体"/>
          <w:sz w:val="32"/>
          <w:szCs w:val="32"/>
        </w:rPr>
      </w:pPr>
    </w:p>
    <w:p>
      <w:pPr>
        <w:spacing w:line="600" w:lineRule="exact"/>
        <w:ind w:firstLine="640" w:firstLineChars="200"/>
        <w:rPr>
          <w:rFonts w:hint="eastAsia" w:ascii="仿宋_GB2312" w:eastAsia="仿宋_GB2312"/>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val="en-US" w:eastAsia="zh-CN"/>
        </w:rPr>
        <w:t>我单位主任</w:t>
      </w:r>
      <w:r>
        <w:rPr>
          <w:rFonts w:hint="eastAsia" w:ascii="仿宋_GB2312" w:eastAsia="仿宋_GB2312"/>
          <w:sz w:val="32"/>
          <w:szCs w:val="32"/>
        </w:rPr>
        <w:t>任组长，</w:t>
      </w:r>
      <w:r>
        <w:rPr>
          <w:rFonts w:hint="eastAsia" w:ascii="仿宋_GB2312" w:eastAsia="仿宋_GB2312"/>
          <w:sz w:val="32"/>
          <w:szCs w:val="32"/>
          <w:lang w:val="en-US" w:eastAsia="zh-CN"/>
        </w:rPr>
        <w:t>副主任任副组长，综合</w:t>
      </w:r>
      <w:r>
        <w:rPr>
          <w:rFonts w:hint="eastAsia" w:ascii="仿宋_GB2312" w:eastAsia="仿宋_GB2312"/>
          <w:sz w:val="32"/>
          <w:szCs w:val="32"/>
        </w:rPr>
        <w:t>科</w:t>
      </w:r>
      <w:r>
        <w:rPr>
          <w:rFonts w:hint="eastAsia" w:ascii="仿宋_GB2312" w:eastAsia="仿宋_GB2312"/>
          <w:sz w:val="32"/>
          <w:szCs w:val="32"/>
          <w:lang w:val="en-US" w:eastAsia="zh-CN"/>
        </w:rPr>
        <w:t>科长、政策法规科科长、征收管理科</w:t>
      </w:r>
      <w:r>
        <w:rPr>
          <w:rFonts w:hint="eastAsia" w:ascii="仿宋_GB2312" w:eastAsia="仿宋_GB2312"/>
          <w:sz w:val="32"/>
          <w:szCs w:val="32"/>
        </w:rPr>
        <w:t>科长</w:t>
      </w:r>
      <w:r>
        <w:rPr>
          <w:rFonts w:hint="eastAsia" w:ascii="仿宋_GB2312" w:eastAsia="仿宋_GB2312"/>
          <w:sz w:val="32"/>
          <w:szCs w:val="32"/>
          <w:lang w:eastAsia="zh-CN"/>
        </w:rPr>
        <w:t>、</w:t>
      </w:r>
      <w:r>
        <w:rPr>
          <w:rFonts w:hint="eastAsia" w:ascii="仿宋_GB2312" w:eastAsia="仿宋_GB2312"/>
          <w:sz w:val="32"/>
          <w:szCs w:val="32"/>
          <w:lang w:val="en-US" w:eastAsia="zh-CN"/>
        </w:rPr>
        <w:t>补偿安置科科长共6人</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绩效评价的目的：加强预算绩效管理，强化支出责任，建立科学、合理的财政支出绩效评价管理体系，提高财政资金使用效益。绩效评价的对象和范围：包括部门（单位）预算管理的财政性资金和上级政府对下级政府的转移支付资金。</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1.</w:t>
      </w:r>
      <w:r>
        <w:rPr>
          <w:rFonts w:hint="eastAsia" w:ascii="仿宋_GB2312" w:eastAsia="仿宋_GB2312"/>
          <w:sz w:val="32"/>
          <w:szCs w:val="32"/>
          <w:lang w:eastAsia="zh-CN"/>
        </w:rPr>
        <w:t>绩效评价应当遵循以下基本原则 ：</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科学公正。绩效评价应当运用科学合理的方法，按照规范的程序，对项目绩效进行客观、公正的反映。 </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统筹兼顾。单位自评、部门评价和财政评价应职责明确，各有侧重，相互衔接。单位自评应由项目单位自主实施，即“谁支出、谁自评”。部门评价和财政评价应在单位自评的基础上开展，必要时可委托第三方机构实施。  </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激励约束。绩效评价结果应与预算安排、政策调整、改进管理实质性挂钩，体现奖优罚劣和激励相容导向，有效要安排、低效要压减、无效要问责。</w:t>
      </w:r>
    </w:p>
    <w:p>
      <w:pPr>
        <w:spacing w:line="600" w:lineRule="atLeast"/>
        <w:ind w:firstLine="640" w:firstLineChars="200"/>
        <w:rPr>
          <w:rFonts w:hint="eastAsia" w:ascii="仿宋" w:hAnsi="仿宋" w:eastAsia="仿宋"/>
          <w:sz w:val="32"/>
          <w:szCs w:val="32"/>
          <w:lang w:val="en-US" w:eastAsia="zh-CN"/>
        </w:rPr>
      </w:pPr>
      <w:r>
        <w:rPr>
          <w:rFonts w:hint="eastAsia" w:ascii="仿宋_GB2312" w:eastAsia="仿宋_GB2312"/>
          <w:sz w:val="32"/>
          <w:szCs w:val="32"/>
          <w:lang w:eastAsia="zh-CN"/>
        </w:rPr>
        <w:t>公开透明。绩效评价结果应依法依规公开，并自觉接受社会监督。</w:t>
      </w:r>
    </w:p>
    <w:p>
      <w:pPr>
        <w:spacing w:line="600" w:lineRule="atLeast"/>
        <w:ind w:firstLine="640" w:firstLineChars="200"/>
        <w:rPr>
          <w:rFonts w:hint="eastAsia" w:ascii="仿宋" w:hAnsi="仿宋" w:eastAsia="仿宋"/>
          <w:sz w:val="32"/>
          <w:szCs w:val="32"/>
          <w:lang w:val="en-US" w:eastAsia="zh-CN"/>
        </w:rPr>
      </w:pPr>
    </w:p>
    <w:p>
      <w:pPr>
        <w:spacing w:line="600" w:lineRule="atLeast"/>
        <w:ind w:firstLine="640" w:firstLineChars="200"/>
        <w:rPr>
          <w:rFonts w:hint="eastAsia" w:ascii="仿宋" w:hAnsi="仿宋" w:eastAsia="仿宋"/>
          <w:sz w:val="32"/>
          <w:szCs w:val="32"/>
          <w:lang w:val="en-US" w:eastAsia="zh-CN"/>
        </w:rPr>
      </w:pPr>
    </w:p>
    <w:p>
      <w:pPr>
        <w:spacing w:line="600" w:lineRule="atLeas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w:t>
      </w:r>
      <w:r>
        <w:rPr>
          <w:rFonts w:hint="eastAsia" w:ascii="仿宋" w:hAnsi="仿宋" w:eastAsia="仿宋"/>
          <w:sz w:val="32"/>
          <w:szCs w:val="32"/>
        </w:rPr>
        <w:t>.</w:t>
      </w:r>
      <w:r>
        <w:rPr>
          <w:rFonts w:hint="eastAsia" w:ascii="仿宋" w:hAnsi="仿宋" w:eastAsia="仿宋"/>
          <w:sz w:val="32"/>
          <w:szCs w:val="32"/>
          <w:lang w:val="en-US" w:eastAsia="zh-CN"/>
        </w:rPr>
        <w:t>评价指标体系见下表</w:t>
      </w:r>
    </w:p>
    <w:p>
      <w:pPr>
        <w:spacing w:line="600" w:lineRule="atLeas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drawing>
          <wp:anchor distT="0" distB="0" distL="114300" distR="114300" simplePos="0" relativeHeight="251659264" behindDoc="0" locked="0" layoutInCell="1" allowOverlap="1">
            <wp:simplePos x="0" y="0"/>
            <wp:positionH relativeFrom="column">
              <wp:posOffset>-144145</wp:posOffset>
            </wp:positionH>
            <wp:positionV relativeFrom="paragraph">
              <wp:posOffset>79375</wp:posOffset>
            </wp:positionV>
            <wp:extent cx="5546090" cy="4651375"/>
            <wp:effectExtent l="0" t="0" r="16510" b="15875"/>
            <wp:wrapNone/>
            <wp:docPr id="2" name="图片 2" descr="1658110876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58110876684"/>
                    <pic:cNvPicPr>
                      <a:picLocks noChangeAspect="1"/>
                    </pic:cNvPicPr>
                  </pic:nvPicPr>
                  <pic:blipFill>
                    <a:blip r:embed="rId4"/>
                    <a:stretch>
                      <a:fillRect/>
                    </a:stretch>
                  </pic:blipFill>
                  <pic:spPr>
                    <a:xfrm>
                      <a:off x="0" y="0"/>
                      <a:ext cx="5546090" cy="4651375"/>
                    </a:xfrm>
                    <a:prstGeom prst="rect">
                      <a:avLst/>
                    </a:prstGeom>
                  </pic:spPr>
                </pic:pic>
              </a:graphicData>
            </a:graphic>
          </wp:anchor>
        </w:drawing>
      </w: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rPr>
          <w:rFonts w:hint="eastAsia" w:eastAsia="黑体"/>
          <w:sz w:val="32"/>
          <w:szCs w:val="32"/>
        </w:rPr>
      </w:pPr>
    </w:p>
    <w:p>
      <w:pPr>
        <w:spacing w:line="600" w:lineRule="atLeast"/>
        <w:ind w:firstLine="640" w:firstLineChars="200"/>
        <w:rPr>
          <w:rFonts w:hint="eastAsia" w:ascii="仿宋_GB2312" w:eastAsia="仿宋_GB2312"/>
          <w:sz w:val="32"/>
          <w:szCs w:val="32"/>
          <w:lang w:val="en-US" w:eastAsia="zh-CN"/>
        </w:rPr>
      </w:pPr>
    </w:p>
    <w:p>
      <w:pPr>
        <w:spacing w:line="600" w:lineRule="atLeast"/>
        <w:ind w:firstLine="640" w:firstLineChars="200"/>
        <w:rPr>
          <w:rFonts w:hint="eastAsia" w:ascii="仿宋_GB2312" w:eastAsia="仿宋_GB2312"/>
          <w:sz w:val="32"/>
          <w:szCs w:val="32"/>
          <w:lang w:val="en-US" w:eastAsia="zh-CN"/>
        </w:rPr>
      </w:pPr>
    </w:p>
    <w:p>
      <w:pPr>
        <w:spacing w:line="600" w:lineRule="atLeast"/>
        <w:ind w:firstLine="640" w:firstLineChars="200"/>
        <w:rPr>
          <w:rFonts w:hint="eastAsia" w:ascii="仿宋" w:hAnsi="仿宋" w:eastAsia="仿宋"/>
          <w:sz w:val="32"/>
          <w:szCs w:val="32"/>
          <w:lang w:val="en-US" w:eastAsia="zh-CN"/>
        </w:rPr>
      </w:pPr>
      <w:r>
        <w:rPr>
          <w:rFonts w:hint="eastAsia" w:ascii="仿宋_GB2312" w:eastAsia="仿宋_GB2312"/>
          <w:sz w:val="32"/>
          <w:szCs w:val="32"/>
          <w:lang w:val="en-US" w:eastAsia="zh-CN"/>
        </w:rPr>
        <w:t>3.评价方法：</w:t>
      </w:r>
      <w:r>
        <w:rPr>
          <w:rFonts w:hint="eastAsia" w:ascii="仿宋" w:hAnsi="仿宋" w:eastAsia="仿宋"/>
          <w:sz w:val="32"/>
          <w:szCs w:val="32"/>
        </w:rPr>
        <w:t>结合本次绩效自评项目的具体情况，为确保自评工作的真实可靠，本次自评主要通过审阅资料、现场部门沟通、问卷调查、数据分析等方法进行评价。</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.评价标准</w:t>
      </w:r>
    </w:p>
    <w:p>
      <w:pPr>
        <w:spacing w:line="600" w:lineRule="atLeast"/>
        <w:ind w:firstLine="640" w:firstLineChars="200"/>
        <w:rPr>
          <w:rFonts w:hint="eastAsia" w:eastAsia="黑体"/>
          <w:sz w:val="32"/>
          <w:szCs w:val="32"/>
        </w:rPr>
      </w:pPr>
      <w:r>
        <w:rPr>
          <w:rFonts w:hint="eastAsia" w:ascii="仿宋" w:hAnsi="仿宋" w:eastAsia="仿宋"/>
          <w:sz w:val="32"/>
          <w:szCs w:val="32"/>
        </w:rPr>
        <w:t>本次评价采用百分制，各级指标依据其指标权重确定分值，评价人员根据评价情况对各级指标进行打分。根据最终得分情况将评价标准分为四个等级：优（得分≥90分）；良（80分≤得分﹤90分）；中（60分≤得分﹤80分）；差（得分﹤60分）。</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 w:hAnsi="仿宋" w:eastAsia="仿宋"/>
          <w:sz w:val="32"/>
          <w:szCs w:val="32"/>
          <w:lang w:val="en-US" w:eastAsia="zh-CN"/>
        </w:rPr>
        <w:t>申请西王庄、彭桥南侧、彭桥村、富乐村、供销社公房区域过渡费322.2万元，已支出319.05万元，预算执行率99%。目标总体完成率99%。除个性问题外基本完成，尽快协调相关部门解决个性问题。</w:t>
      </w:r>
      <w:bookmarkStart w:id="0" w:name="_GoBack"/>
      <w:bookmarkEnd w:id="0"/>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按照玉征收呈〔2022〕43号《关于拨付供销社工房区域过渡费补助的请示》申请拨付资金40万元；按照玉征收呈〔2023〕3号《关于拨付彭桥村过渡费补助的请示》申请拨付资金95.85万元；按照玉征收呈〔2023〕4号《关于拨付富乐村区域过渡费补助的请示》申请拨付资金94.95万元；按照玉征收呈〔2023〕5号《关于拨付彭桥南侧过渡费补助的请示》申请拨付资金33.3万元；按照玉征收呈〔2023〕6号《关于拨付西王庄村区域过渡费补助的请示》申请拨付资金71.55万元。共计申请拨付资金322.2万元。</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资金到账金额322.2万元，支出金额</w:t>
      </w:r>
      <w:r>
        <w:rPr>
          <w:rFonts w:hint="eastAsia" w:ascii="仿宋" w:hAnsi="仿宋" w:eastAsia="仿宋"/>
          <w:sz w:val="32"/>
          <w:szCs w:val="32"/>
          <w:lang w:val="en-US" w:eastAsia="zh-CN"/>
        </w:rPr>
        <w:t>319.05万元，执行率99%。</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r>
        <w:rPr>
          <w:rFonts w:hint="eastAsia" w:ascii="仿宋_GB2312" w:eastAsia="仿宋_GB2312"/>
          <w:sz w:val="32"/>
          <w:szCs w:val="32"/>
          <w:lang w:eastAsia="zh-CN"/>
        </w:rPr>
        <w:t>（产出数量、产出质量、产出时效、产出成本）</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产出数量</w:t>
      </w:r>
      <w:r>
        <w:rPr>
          <w:rFonts w:hint="eastAsia" w:ascii="仿宋_GB2312" w:eastAsia="仿宋_GB2312"/>
          <w:sz w:val="32"/>
          <w:szCs w:val="32"/>
          <w:lang w:val="en-US" w:eastAsia="zh-CN"/>
        </w:rPr>
        <w:t>指标完成率99%</w:t>
      </w:r>
      <w:r>
        <w:rPr>
          <w:rFonts w:hint="eastAsia" w:ascii="仿宋_GB2312" w:eastAsia="仿宋_GB2312"/>
          <w:sz w:val="32"/>
          <w:szCs w:val="32"/>
          <w:lang w:eastAsia="zh-CN"/>
        </w:rPr>
        <w:t>，产出质量、产出时效、产出成本</w:t>
      </w:r>
      <w:r>
        <w:rPr>
          <w:rFonts w:hint="eastAsia" w:ascii="仿宋_GB2312" w:eastAsia="仿宋_GB2312"/>
          <w:sz w:val="32"/>
          <w:szCs w:val="32"/>
          <w:lang w:val="en-US" w:eastAsia="zh-CN"/>
        </w:rPr>
        <w:t>指标完成率100%。</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（经济效益、社会效益、环境效益可持续影响、服务对象满意度）</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经济效益、</w:t>
      </w:r>
      <w:r>
        <w:rPr>
          <w:rFonts w:hint="eastAsia" w:ascii="仿宋_GB2312" w:eastAsia="仿宋_GB2312"/>
          <w:sz w:val="32"/>
          <w:szCs w:val="32"/>
          <w:lang w:eastAsia="zh-CN"/>
        </w:rPr>
        <w:t>社会效益、服务对象满意度</w:t>
      </w:r>
      <w:r>
        <w:rPr>
          <w:rFonts w:hint="eastAsia" w:ascii="仿宋_GB2312" w:eastAsia="仿宋_GB2312"/>
          <w:sz w:val="32"/>
          <w:szCs w:val="32"/>
          <w:lang w:val="en-US" w:eastAsia="zh-CN"/>
        </w:rPr>
        <w:t>指标完成率100%。</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 w:hAnsi="仿宋" w:eastAsia="仿宋"/>
          <w:sz w:val="32"/>
          <w:szCs w:val="32"/>
          <w:lang w:val="en-US" w:eastAsia="zh-CN"/>
        </w:rPr>
        <w:t>除个性问题外基本完成，尽快协调相关部门解决个性问题。</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B5279"/>
    <w:rsid w:val="006D698D"/>
    <w:rsid w:val="007B014A"/>
    <w:rsid w:val="008D0681"/>
    <w:rsid w:val="00D72339"/>
    <w:rsid w:val="018C7B99"/>
    <w:rsid w:val="02636F1A"/>
    <w:rsid w:val="02BC028B"/>
    <w:rsid w:val="031D702B"/>
    <w:rsid w:val="0468250E"/>
    <w:rsid w:val="047475DC"/>
    <w:rsid w:val="055C7CAB"/>
    <w:rsid w:val="059943D9"/>
    <w:rsid w:val="05EB5EC4"/>
    <w:rsid w:val="05EF16FD"/>
    <w:rsid w:val="07DD5D59"/>
    <w:rsid w:val="080829BC"/>
    <w:rsid w:val="08384DD1"/>
    <w:rsid w:val="084859A3"/>
    <w:rsid w:val="09591064"/>
    <w:rsid w:val="09C120A6"/>
    <w:rsid w:val="0A5F13F2"/>
    <w:rsid w:val="0AA51086"/>
    <w:rsid w:val="0C433FAA"/>
    <w:rsid w:val="0D0A37DF"/>
    <w:rsid w:val="0E1A3B33"/>
    <w:rsid w:val="0EBC26D6"/>
    <w:rsid w:val="0F326B89"/>
    <w:rsid w:val="0F77263A"/>
    <w:rsid w:val="0F974177"/>
    <w:rsid w:val="0FD13331"/>
    <w:rsid w:val="117400AF"/>
    <w:rsid w:val="143556B4"/>
    <w:rsid w:val="144A1103"/>
    <w:rsid w:val="14CA62B3"/>
    <w:rsid w:val="151C212F"/>
    <w:rsid w:val="15755FA6"/>
    <w:rsid w:val="16EA2C3C"/>
    <w:rsid w:val="16FF3949"/>
    <w:rsid w:val="173C0BA0"/>
    <w:rsid w:val="17BD71FF"/>
    <w:rsid w:val="17C214C3"/>
    <w:rsid w:val="184B5B6A"/>
    <w:rsid w:val="19F66F6A"/>
    <w:rsid w:val="1AB601E2"/>
    <w:rsid w:val="1BC23B97"/>
    <w:rsid w:val="1C9706F7"/>
    <w:rsid w:val="1CA11007"/>
    <w:rsid w:val="1DE25B8E"/>
    <w:rsid w:val="20323461"/>
    <w:rsid w:val="2128655C"/>
    <w:rsid w:val="219D26B3"/>
    <w:rsid w:val="22CD74F6"/>
    <w:rsid w:val="23A35ADA"/>
    <w:rsid w:val="23B75C54"/>
    <w:rsid w:val="23CC2948"/>
    <w:rsid w:val="244402ED"/>
    <w:rsid w:val="25776207"/>
    <w:rsid w:val="2664482B"/>
    <w:rsid w:val="27D35027"/>
    <w:rsid w:val="294A494E"/>
    <w:rsid w:val="2A0F7B8F"/>
    <w:rsid w:val="2B0803CF"/>
    <w:rsid w:val="2C3C6E9F"/>
    <w:rsid w:val="2C6538E6"/>
    <w:rsid w:val="2E924DF5"/>
    <w:rsid w:val="2EDB42EF"/>
    <w:rsid w:val="2F2C2DF5"/>
    <w:rsid w:val="2FFB6945"/>
    <w:rsid w:val="3172742B"/>
    <w:rsid w:val="3271734E"/>
    <w:rsid w:val="33222006"/>
    <w:rsid w:val="33F97BC3"/>
    <w:rsid w:val="340764EB"/>
    <w:rsid w:val="35CA69B5"/>
    <w:rsid w:val="35D244E9"/>
    <w:rsid w:val="36832FFC"/>
    <w:rsid w:val="36FC7442"/>
    <w:rsid w:val="382849B1"/>
    <w:rsid w:val="38896D41"/>
    <w:rsid w:val="38D6254B"/>
    <w:rsid w:val="399A6726"/>
    <w:rsid w:val="3A7A47BA"/>
    <w:rsid w:val="3B621F9D"/>
    <w:rsid w:val="3E1675C3"/>
    <w:rsid w:val="402B2AD3"/>
    <w:rsid w:val="40DE5DF9"/>
    <w:rsid w:val="40EB371D"/>
    <w:rsid w:val="41633962"/>
    <w:rsid w:val="41AF3473"/>
    <w:rsid w:val="433C6F5D"/>
    <w:rsid w:val="44773462"/>
    <w:rsid w:val="44787793"/>
    <w:rsid w:val="44F639B0"/>
    <w:rsid w:val="45316114"/>
    <w:rsid w:val="4595474B"/>
    <w:rsid w:val="46683A1F"/>
    <w:rsid w:val="49D67DF9"/>
    <w:rsid w:val="4A2B0A3A"/>
    <w:rsid w:val="4AB10919"/>
    <w:rsid w:val="4BC73CDE"/>
    <w:rsid w:val="4D687E6C"/>
    <w:rsid w:val="4E6423A8"/>
    <w:rsid w:val="4E7E543D"/>
    <w:rsid w:val="4F8F2906"/>
    <w:rsid w:val="4FEA6D2C"/>
    <w:rsid w:val="4FFA4588"/>
    <w:rsid w:val="503E2640"/>
    <w:rsid w:val="50B60C68"/>
    <w:rsid w:val="51D879E2"/>
    <w:rsid w:val="52BC45CC"/>
    <w:rsid w:val="535B75CD"/>
    <w:rsid w:val="544970EC"/>
    <w:rsid w:val="55DA1A5C"/>
    <w:rsid w:val="56FA45C0"/>
    <w:rsid w:val="57871C26"/>
    <w:rsid w:val="57D851FE"/>
    <w:rsid w:val="58554A66"/>
    <w:rsid w:val="59BB1BC6"/>
    <w:rsid w:val="59D63A74"/>
    <w:rsid w:val="5A6668D0"/>
    <w:rsid w:val="5A7B0647"/>
    <w:rsid w:val="5A95048F"/>
    <w:rsid w:val="5AC558FB"/>
    <w:rsid w:val="5AD34C11"/>
    <w:rsid w:val="5ADF2C22"/>
    <w:rsid w:val="5B9462A0"/>
    <w:rsid w:val="5BDF04CC"/>
    <w:rsid w:val="5C4C3CFA"/>
    <w:rsid w:val="5D7C188C"/>
    <w:rsid w:val="5F310A0D"/>
    <w:rsid w:val="5FD53A4A"/>
    <w:rsid w:val="600E3824"/>
    <w:rsid w:val="60E96A0A"/>
    <w:rsid w:val="625911EA"/>
    <w:rsid w:val="627D702E"/>
    <w:rsid w:val="63055211"/>
    <w:rsid w:val="63AF0C61"/>
    <w:rsid w:val="6538251C"/>
    <w:rsid w:val="656E74D9"/>
    <w:rsid w:val="66D435C2"/>
    <w:rsid w:val="675F67A8"/>
    <w:rsid w:val="67EA5309"/>
    <w:rsid w:val="68282344"/>
    <w:rsid w:val="689A13DC"/>
    <w:rsid w:val="6A1A48C9"/>
    <w:rsid w:val="6BF840F0"/>
    <w:rsid w:val="6CE13039"/>
    <w:rsid w:val="6CFB475C"/>
    <w:rsid w:val="6D0522DD"/>
    <w:rsid w:val="6D4F0D5B"/>
    <w:rsid w:val="6DF337EC"/>
    <w:rsid w:val="6E8C1058"/>
    <w:rsid w:val="6FBC771B"/>
    <w:rsid w:val="6FCE3CC5"/>
    <w:rsid w:val="6FFB1846"/>
    <w:rsid w:val="700C7562"/>
    <w:rsid w:val="712169FD"/>
    <w:rsid w:val="72C977F9"/>
    <w:rsid w:val="734E296B"/>
    <w:rsid w:val="7393582A"/>
    <w:rsid w:val="74352E35"/>
    <w:rsid w:val="75201B39"/>
    <w:rsid w:val="75E451F1"/>
    <w:rsid w:val="772D2081"/>
    <w:rsid w:val="7776420B"/>
    <w:rsid w:val="790A599B"/>
    <w:rsid w:val="791871BB"/>
    <w:rsid w:val="7AA36941"/>
    <w:rsid w:val="7AB61937"/>
    <w:rsid w:val="7B036FEB"/>
    <w:rsid w:val="7B7E0E98"/>
    <w:rsid w:val="7CF4298E"/>
    <w:rsid w:val="7D796C4C"/>
    <w:rsid w:val="7F805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Better late than never</cp:lastModifiedBy>
  <cp:lastPrinted>2022-07-11T08:06:00Z</cp:lastPrinted>
  <dcterms:modified xsi:type="dcterms:W3CDTF">2024-04-22T01:37:30Z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