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framePr w:w="8328" w:h="1334" w:hRule="exact" w:wrap="around" w:vAnchor="page" w:hAnchor="page" w:x="1803" w:y="3162"/>
        <w:widowControl w:val="0"/>
        <w:shd w:val="clear" w:color="auto" w:fill="auto"/>
        <w:kinsoku/>
        <w:wordWrap/>
        <w:overflowPunct/>
        <w:topLinePunct w:val="0"/>
        <w:autoSpaceDE/>
        <w:autoSpaceDN/>
        <w:bidi w:val="0"/>
        <w:adjustRightInd/>
        <w:snapToGrid/>
        <w:spacing w:before="0" w:after="0" w:line="700" w:lineRule="exact"/>
        <w:ind w:left="0" w:right="0" w:firstLine="0"/>
        <w:jc w:val="center"/>
        <w:textAlignment w:val="auto"/>
        <w:rPr>
          <w:rFonts w:hint="eastAsia" w:ascii="黑体" w:hAnsi="黑体" w:eastAsia="黑体" w:cs="黑体"/>
          <w:b/>
          <w:bCs/>
          <w:sz w:val="72"/>
          <w:szCs w:val="72"/>
        </w:rPr>
      </w:pPr>
      <w:r>
        <w:rPr>
          <w:rFonts w:hint="eastAsia" w:ascii="黑体" w:hAnsi="黑体" w:eastAsia="黑体" w:cs="黑体"/>
          <w:b/>
          <w:bCs/>
          <w:color w:val="000000"/>
          <w:spacing w:val="0"/>
          <w:w w:val="100"/>
          <w:position w:val="0"/>
          <w:sz w:val="72"/>
          <w:szCs w:val="72"/>
        </w:rPr>
        <w:t>20</w:t>
      </w:r>
      <w:r>
        <w:rPr>
          <w:rFonts w:hint="eastAsia" w:ascii="黑体" w:hAnsi="黑体" w:eastAsia="黑体" w:cs="黑体"/>
          <w:b/>
          <w:bCs/>
          <w:color w:val="000000"/>
          <w:spacing w:val="0"/>
          <w:w w:val="100"/>
          <w:position w:val="0"/>
          <w:sz w:val="72"/>
          <w:szCs w:val="72"/>
          <w:lang w:val="en-US" w:eastAsia="zh-CN"/>
        </w:rPr>
        <w:t>23</w:t>
      </w:r>
      <w:r>
        <w:rPr>
          <w:rFonts w:hint="eastAsia" w:ascii="黑体" w:hAnsi="黑体" w:eastAsia="黑体" w:cs="黑体"/>
          <w:b/>
          <w:bCs/>
          <w:color w:val="000000"/>
          <w:spacing w:val="0"/>
          <w:w w:val="100"/>
          <w:position w:val="0"/>
          <w:sz w:val="72"/>
          <w:szCs w:val="72"/>
        </w:rPr>
        <w:t>年度重点项目支出</w:t>
      </w:r>
      <w:r>
        <w:rPr>
          <w:rFonts w:hint="eastAsia" w:ascii="黑体" w:hAnsi="黑体" w:eastAsia="黑体" w:cs="黑体"/>
          <w:b/>
          <w:bCs/>
          <w:color w:val="000000"/>
          <w:spacing w:val="0"/>
          <w:w w:val="100"/>
          <w:position w:val="0"/>
          <w:sz w:val="72"/>
          <w:szCs w:val="72"/>
        </w:rPr>
        <w:br w:type="textWrapping"/>
      </w:r>
      <w:r>
        <w:rPr>
          <w:rFonts w:hint="eastAsia" w:ascii="黑体" w:hAnsi="黑体" w:eastAsia="黑体" w:cs="黑体"/>
          <w:b/>
          <w:bCs/>
          <w:color w:val="000000"/>
          <w:spacing w:val="0"/>
          <w:w w:val="100"/>
          <w:position w:val="0"/>
          <w:sz w:val="72"/>
          <w:szCs w:val="72"/>
        </w:rPr>
        <w:t>绩效评价报告</w:t>
      </w:r>
    </w:p>
    <w:p>
      <w:pPr>
        <w:jc w:val="center"/>
        <w:rPr>
          <w:rFonts w:hint="eastAsia" w:ascii="宋体" w:hAnsi="宋体" w:eastAsia="宋体" w:cs="Arial"/>
          <w:b/>
          <w:bCs/>
          <w:sz w:val="36"/>
          <w:szCs w:val="36"/>
          <w:lang w:val="en-US" w:eastAsia="zh-CN"/>
        </w:rPr>
      </w:pPr>
    </w:p>
    <w:p>
      <w:pPr>
        <w:jc w:val="both"/>
        <w:rPr>
          <w:rFonts w:hint="eastAsia" w:ascii="楷体" w:hAnsi="楷体" w:eastAsia="楷体" w:cs="楷体"/>
          <w:b/>
          <w:bCs/>
          <w:sz w:val="48"/>
          <w:szCs w:val="48"/>
          <w:lang w:val="en-US" w:eastAsia="zh-CN"/>
        </w:rPr>
      </w:pPr>
    </w:p>
    <w:p>
      <w:pPr>
        <w:pStyle w:val="10"/>
        <w:keepNext w:val="0"/>
        <w:keepLines w:val="0"/>
        <w:framePr w:w="8328" w:h="4402" w:hRule="exact" w:wrap="around" w:vAnchor="page" w:hAnchor="page" w:x="1826" w:y="9954"/>
        <w:widowControl w:val="0"/>
        <w:shd w:val="clear" w:color="auto" w:fill="auto"/>
        <w:bidi w:val="0"/>
        <w:spacing w:before="0" w:after="0" w:line="643" w:lineRule="exact"/>
        <w:ind w:right="0"/>
        <w:jc w:val="both"/>
        <w:rPr>
          <w:rFonts w:hint="default" w:ascii="仿宋" w:hAnsi="仿宋" w:eastAsia="仿宋" w:cs="仿宋"/>
          <w:sz w:val="36"/>
          <w:szCs w:val="36"/>
          <w:u w:val="single"/>
          <w:lang w:val="en-US" w:eastAsia="zh-CN"/>
        </w:rPr>
      </w:pPr>
      <w:r>
        <w:rPr>
          <w:rFonts w:hint="eastAsia" w:ascii="仿宋" w:hAnsi="仿宋" w:eastAsia="仿宋" w:cs="仿宋"/>
          <w:color w:val="000000"/>
          <w:spacing w:val="0"/>
          <w:w w:val="100"/>
          <w:position w:val="0"/>
          <w:sz w:val="36"/>
          <w:szCs w:val="36"/>
        </w:rPr>
        <w:t>项目名称：</w:t>
      </w:r>
      <w:r>
        <w:rPr>
          <w:rFonts w:hint="eastAsia" w:ascii="仿宋" w:hAnsi="仿宋" w:eastAsia="仿宋" w:cs="仿宋"/>
          <w:color w:val="000000"/>
          <w:spacing w:val="0"/>
          <w:w w:val="100"/>
          <w:position w:val="0"/>
          <w:sz w:val="36"/>
          <w:szCs w:val="36"/>
          <w:u w:val="single"/>
          <w:lang w:val="en-US" w:eastAsia="zh-CN"/>
        </w:rPr>
        <w:t xml:space="preserve"> 体育器材购置                              </w:t>
      </w:r>
    </w:p>
    <w:p>
      <w:pPr>
        <w:pStyle w:val="10"/>
        <w:keepNext w:val="0"/>
        <w:keepLines w:val="0"/>
        <w:framePr w:w="8328" w:h="4402" w:hRule="exact" w:wrap="around" w:vAnchor="page" w:hAnchor="page" w:x="1826" w:y="9954"/>
        <w:widowControl w:val="0"/>
        <w:shd w:val="clear" w:color="auto" w:fill="auto"/>
        <w:bidi w:val="0"/>
        <w:spacing w:before="0" w:after="0" w:line="600" w:lineRule="exact"/>
        <w:ind w:right="0"/>
        <w:jc w:val="both"/>
        <w:rPr>
          <w:rFonts w:hint="default" w:ascii="仿宋" w:hAnsi="仿宋" w:eastAsia="仿宋" w:cs="仿宋"/>
          <w:color w:val="000000"/>
          <w:spacing w:val="0"/>
          <w:w w:val="100"/>
          <w:position w:val="0"/>
          <w:sz w:val="36"/>
          <w:szCs w:val="36"/>
          <w:lang w:val="en-US" w:eastAsia="zh-CN"/>
        </w:rPr>
      </w:pPr>
      <w:r>
        <w:rPr>
          <w:rFonts w:hint="eastAsia" w:ascii="仿宋" w:hAnsi="仿宋" w:eastAsia="仿宋" w:cs="仿宋"/>
          <w:color w:val="000000"/>
          <w:spacing w:val="0"/>
          <w:w w:val="100"/>
          <w:position w:val="0"/>
          <w:sz w:val="36"/>
          <w:szCs w:val="36"/>
        </w:rPr>
        <w:t>主管部门（公章）：</w:t>
      </w:r>
      <w:r>
        <w:rPr>
          <w:rFonts w:hint="eastAsia" w:ascii="仿宋" w:hAnsi="仿宋" w:eastAsia="仿宋" w:cs="仿宋"/>
          <w:color w:val="000000"/>
          <w:spacing w:val="0"/>
          <w:w w:val="100"/>
          <w:position w:val="0"/>
          <w:sz w:val="36"/>
          <w:szCs w:val="36"/>
          <w:u w:val="single"/>
          <w:lang w:val="en-US" w:eastAsia="zh-CN"/>
        </w:rPr>
        <w:t xml:space="preserve"> 玉田县文化广电和旅游局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default" w:ascii="仿宋" w:hAnsi="仿宋" w:eastAsia="仿宋" w:cs="仿宋"/>
          <w:sz w:val="36"/>
          <w:szCs w:val="36"/>
          <w:lang w:val="en-US" w:eastAsia="zh-CN"/>
        </w:rPr>
      </w:pPr>
      <w:r>
        <w:rPr>
          <w:rFonts w:hint="eastAsia" w:ascii="仿宋" w:hAnsi="仿宋" w:eastAsia="仿宋" w:cs="仿宋"/>
          <w:color w:val="000000"/>
          <w:spacing w:val="0"/>
          <w:w w:val="100"/>
          <w:position w:val="0"/>
          <w:sz w:val="36"/>
          <w:szCs w:val="36"/>
        </w:rPr>
        <w:t>项目负责人：</w:t>
      </w:r>
      <w:r>
        <w:rPr>
          <w:rFonts w:hint="eastAsia" w:ascii="仿宋" w:hAnsi="仿宋" w:eastAsia="仿宋" w:cs="仿宋"/>
          <w:color w:val="000000"/>
          <w:spacing w:val="0"/>
          <w:w w:val="100"/>
          <w:position w:val="0"/>
          <w:sz w:val="36"/>
          <w:szCs w:val="36"/>
          <w:u w:val="single"/>
          <w:lang w:val="en-US" w:eastAsia="zh-CN"/>
        </w:rPr>
        <w:t xml:space="preserve">   韩铭远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default" w:ascii="仿宋" w:hAnsi="仿宋" w:eastAsia="仿宋" w:cs="仿宋"/>
          <w:sz w:val="40"/>
          <w:szCs w:val="40"/>
          <w:lang w:val="en-US" w:eastAsia="zh-CN"/>
        </w:rPr>
      </w:pPr>
      <w:r>
        <w:rPr>
          <w:rFonts w:hint="eastAsia" w:ascii="仿宋" w:hAnsi="仿宋" w:eastAsia="仿宋" w:cs="仿宋"/>
          <w:color w:val="000000"/>
          <w:spacing w:val="0"/>
          <w:w w:val="100"/>
          <w:position w:val="0"/>
          <w:sz w:val="36"/>
          <w:szCs w:val="36"/>
        </w:rPr>
        <w:t>联系电话：</w:t>
      </w:r>
      <w:r>
        <w:rPr>
          <w:rFonts w:hint="eastAsia" w:ascii="仿宋" w:hAnsi="仿宋" w:eastAsia="仿宋" w:cs="仿宋"/>
          <w:color w:val="000000"/>
          <w:spacing w:val="0"/>
          <w:w w:val="100"/>
          <w:position w:val="0"/>
          <w:sz w:val="36"/>
          <w:szCs w:val="36"/>
          <w:u w:val="single"/>
          <w:lang w:val="en-US" w:eastAsia="zh-CN"/>
        </w:rPr>
        <w:t xml:space="preserve">   0315-6185023                              </w:t>
      </w: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bookmarkStart w:id="0" w:name="_Toc18411_WPSOffice_Type3"/>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r>
        <w:rPr>
          <w:rFonts w:hint="eastAsia" w:ascii="仿宋" w:hAnsi="仿宋" w:eastAsia="仿宋" w:cs="仿宋"/>
          <w:b/>
          <w:bCs/>
          <w:sz w:val="52"/>
          <w:szCs w:val="52"/>
        </w:rPr>
        <w:t>目录</w:t>
      </w: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_Toc30176_WPSOffice_Level1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一、部门职责</w:t>
      </w:r>
      <w:r>
        <w:rPr>
          <w:rFonts w:hint="eastAsia" w:ascii="仿宋" w:hAnsi="仿宋" w:eastAsia="仿宋" w:cs="仿宋"/>
          <w:sz w:val="28"/>
          <w:szCs w:val="28"/>
        </w:rPr>
        <w:tab/>
      </w:r>
      <w:bookmarkStart w:id="1" w:name="_Toc30176_WPSOffice_Level1Page"/>
      <w:r>
        <w:rPr>
          <w:rFonts w:hint="eastAsia" w:ascii="仿宋" w:hAnsi="仿宋" w:eastAsia="仿宋" w:cs="仿宋"/>
          <w:sz w:val="28"/>
          <w:szCs w:val="28"/>
        </w:rPr>
        <w:t>2</w:t>
      </w:r>
      <w:bookmarkEnd w:id="1"/>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_Toc31309_WPSOffice_Level1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二、绩效评价工作开展情况</w:t>
      </w:r>
      <w:r>
        <w:rPr>
          <w:rFonts w:hint="eastAsia" w:ascii="仿宋" w:hAnsi="仿宋" w:eastAsia="仿宋" w:cs="仿宋"/>
          <w:sz w:val="28"/>
          <w:szCs w:val="28"/>
        </w:rPr>
        <w:tab/>
      </w:r>
      <w:bookmarkStart w:id="2" w:name="_Toc31309_WPSOffice_Level1Page"/>
      <w:r>
        <w:rPr>
          <w:rFonts w:hint="eastAsia" w:ascii="仿宋" w:hAnsi="仿宋" w:eastAsia="仿宋" w:cs="仿宋"/>
          <w:sz w:val="28"/>
          <w:szCs w:val="28"/>
        </w:rPr>
        <w:t>3</w:t>
      </w:r>
      <w:bookmarkEnd w:id="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_Toc4762_WPSOffice_Level2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（一）绩效评价目的与原则</w:t>
      </w:r>
      <w:r>
        <w:rPr>
          <w:rFonts w:hint="eastAsia" w:ascii="仿宋" w:hAnsi="仿宋" w:eastAsia="仿宋" w:cs="仿宋"/>
          <w:sz w:val="28"/>
          <w:szCs w:val="28"/>
        </w:rPr>
        <w:tab/>
      </w:r>
      <w:bookmarkStart w:id="3" w:name="_Toc4762_WPSOffice_Level2Page"/>
      <w:r>
        <w:rPr>
          <w:rFonts w:hint="eastAsia" w:ascii="仿宋" w:hAnsi="仿宋" w:eastAsia="仿宋" w:cs="仿宋"/>
          <w:sz w:val="28"/>
          <w:szCs w:val="28"/>
        </w:rPr>
        <w:t>3</w:t>
      </w:r>
      <w:bookmarkEnd w:id="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_Toc27178_WPSOffice_Level2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（二）评价依据</w:t>
      </w:r>
      <w:r>
        <w:rPr>
          <w:rFonts w:hint="eastAsia" w:ascii="仿宋" w:hAnsi="仿宋" w:eastAsia="仿宋" w:cs="仿宋"/>
          <w:sz w:val="28"/>
          <w:szCs w:val="28"/>
        </w:rPr>
        <w:tab/>
      </w:r>
      <w:bookmarkStart w:id="4" w:name="_Toc27178_WPSOffice_Level2Page"/>
      <w:r>
        <w:rPr>
          <w:rFonts w:hint="eastAsia" w:ascii="仿宋" w:hAnsi="仿宋" w:eastAsia="仿宋" w:cs="仿宋"/>
          <w:sz w:val="28"/>
          <w:szCs w:val="28"/>
        </w:rPr>
        <w:t>3</w:t>
      </w:r>
      <w:bookmarkEnd w:id="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_Toc3714_WPSOffice_Level2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（三）评价思路与程序</w:t>
      </w:r>
      <w:r>
        <w:rPr>
          <w:rFonts w:hint="eastAsia" w:ascii="仿宋" w:hAnsi="仿宋" w:eastAsia="仿宋" w:cs="仿宋"/>
          <w:sz w:val="28"/>
          <w:szCs w:val="28"/>
        </w:rPr>
        <w:tab/>
      </w:r>
      <w:bookmarkStart w:id="5" w:name="_Toc3714_WPSOffice_Level2Page"/>
      <w:r>
        <w:rPr>
          <w:rFonts w:hint="eastAsia" w:ascii="仿宋" w:hAnsi="仿宋" w:eastAsia="仿宋" w:cs="仿宋"/>
          <w:sz w:val="28"/>
          <w:szCs w:val="28"/>
        </w:rPr>
        <w:t>4</w:t>
      </w:r>
      <w:bookmarkEnd w:id="5"/>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_Toc15123_WPSOffice_Level2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（四）本次绩效评价的局限性</w:t>
      </w:r>
      <w:r>
        <w:rPr>
          <w:rFonts w:hint="eastAsia" w:ascii="仿宋" w:hAnsi="仿宋" w:eastAsia="仿宋" w:cs="仿宋"/>
          <w:sz w:val="28"/>
          <w:szCs w:val="28"/>
        </w:rPr>
        <w:tab/>
      </w:r>
      <w:bookmarkStart w:id="6" w:name="_Toc15123_WPSOffice_Level2Page"/>
      <w:r>
        <w:rPr>
          <w:rFonts w:hint="eastAsia" w:ascii="仿宋" w:hAnsi="仿宋" w:eastAsia="仿宋" w:cs="仿宋"/>
          <w:sz w:val="28"/>
          <w:szCs w:val="28"/>
        </w:rPr>
        <w:t>4</w:t>
      </w:r>
      <w:bookmarkEnd w:id="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_Toc22655_WPSOffice_Level1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三、项目总体情况</w:t>
      </w:r>
      <w:r>
        <w:rPr>
          <w:rFonts w:hint="eastAsia" w:ascii="仿宋" w:hAnsi="仿宋" w:eastAsia="仿宋" w:cs="仿宋"/>
          <w:sz w:val="28"/>
          <w:szCs w:val="28"/>
        </w:rPr>
        <w:tab/>
      </w:r>
      <w:bookmarkStart w:id="7" w:name="_Toc22655_WPSOffice_Level1Page"/>
      <w:r>
        <w:rPr>
          <w:rFonts w:hint="eastAsia" w:ascii="仿宋" w:hAnsi="仿宋" w:eastAsia="仿宋" w:cs="仿宋"/>
          <w:sz w:val="28"/>
          <w:szCs w:val="28"/>
        </w:rPr>
        <w:t>5</w:t>
      </w:r>
      <w:bookmarkEnd w:id="7"/>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_Toc1808_WPSOffice_Level2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（一）立项背景及目的</w:t>
      </w:r>
      <w:r>
        <w:rPr>
          <w:rFonts w:hint="eastAsia" w:ascii="仿宋" w:hAnsi="仿宋" w:eastAsia="仿宋" w:cs="仿宋"/>
          <w:sz w:val="28"/>
          <w:szCs w:val="28"/>
        </w:rPr>
        <w:tab/>
      </w:r>
      <w:bookmarkStart w:id="8" w:name="_Toc1808_WPSOffice_Level2Page"/>
      <w:r>
        <w:rPr>
          <w:rFonts w:hint="eastAsia" w:ascii="仿宋" w:hAnsi="仿宋" w:eastAsia="仿宋" w:cs="仿宋"/>
          <w:sz w:val="28"/>
          <w:szCs w:val="28"/>
        </w:rPr>
        <w:t>5</w:t>
      </w:r>
      <w:bookmarkEnd w:id="8"/>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_Toc22094_WPSOffice_Level2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 项目总体绩效目标</w:t>
      </w:r>
      <w:r>
        <w:rPr>
          <w:rFonts w:hint="eastAsia" w:ascii="仿宋" w:hAnsi="仿宋" w:eastAsia="仿宋" w:cs="仿宋"/>
          <w:sz w:val="28"/>
          <w:szCs w:val="28"/>
        </w:rPr>
        <w:tab/>
      </w:r>
      <w:bookmarkStart w:id="9" w:name="_Toc22094_WPSOffice_Level2Page"/>
      <w:r>
        <w:rPr>
          <w:rFonts w:hint="eastAsia" w:ascii="仿宋" w:hAnsi="仿宋" w:eastAsia="仿宋" w:cs="仿宋"/>
          <w:sz w:val="28"/>
          <w:szCs w:val="28"/>
        </w:rPr>
        <w:t>5</w:t>
      </w:r>
      <w:bookmarkEnd w:id="9"/>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_Toc18801_WPSOffice_Level2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（三）项目分项绩效目标</w:t>
      </w:r>
      <w:r>
        <w:rPr>
          <w:rFonts w:hint="eastAsia" w:ascii="仿宋" w:hAnsi="仿宋" w:eastAsia="仿宋" w:cs="仿宋"/>
          <w:sz w:val="28"/>
          <w:szCs w:val="28"/>
        </w:rPr>
        <w:tab/>
      </w:r>
      <w:bookmarkStart w:id="10" w:name="_Toc18801_WPSOffice_Level2Page"/>
      <w:r>
        <w:rPr>
          <w:rFonts w:hint="eastAsia" w:ascii="仿宋" w:hAnsi="仿宋" w:eastAsia="仿宋" w:cs="仿宋"/>
          <w:sz w:val="28"/>
          <w:szCs w:val="28"/>
        </w:rPr>
        <w:t>5</w:t>
      </w:r>
      <w:bookmarkEnd w:id="10"/>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_Toc14430_WPSOffice_Level1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四、项目基本情况</w:t>
      </w:r>
      <w:r>
        <w:rPr>
          <w:rFonts w:hint="eastAsia" w:ascii="仿宋" w:hAnsi="仿宋" w:eastAsia="仿宋" w:cs="仿宋"/>
          <w:sz w:val="28"/>
          <w:szCs w:val="28"/>
        </w:rPr>
        <w:tab/>
      </w:r>
      <w:bookmarkStart w:id="11" w:name="_Toc14430_WPSOffice_Level1Page"/>
      <w:r>
        <w:rPr>
          <w:rFonts w:hint="eastAsia" w:ascii="仿宋" w:hAnsi="仿宋" w:eastAsia="仿宋" w:cs="仿宋"/>
          <w:sz w:val="28"/>
          <w:szCs w:val="28"/>
        </w:rPr>
        <w:t>5</w:t>
      </w:r>
      <w:bookmarkEnd w:id="11"/>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_Toc4550_WPSOffice_Level2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（一）项目决策情况。</w:t>
      </w:r>
      <w:r>
        <w:rPr>
          <w:rFonts w:hint="eastAsia" w:ascii="仿宋" w:hAnsi="仿宋" w:eastAsia="仿宋" w:cs="仿宋"/>
          <w:sz w:val="28"/>
          <w:szCs w:val="28"/>
        </w:rPr>
        <w:tab/>
      </w:r>
      <w:bookmarkStart w:id="12" w:name="_Toc4550_WPSOffice_Level2Page"/>
      <w:r>
        <w:rPr>
          <w:rFonts w:hint="eastAsia" w:ascii="仿宋" w:hAnsi="仿宋" w:eastAsia="仿宋" w:cs="仿宋"/>
          <w:sz w:val="28"/>
          <w:szCs w:val="28"/>
        </w:rPr>
        <w:t>5</w:t>
      </w:r>
      <w:bookmarkEnd w:id="1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_Toc21876_WPSOffice_Level2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（二）项目过程情况。</w:t>
      </w:r>
      <w:r>
        <w:rPr>
          <w:rFonts w:hint="eastAsia" w:ascii="仿宋" w:hAnsi="仿宋" w:eastAsia="仿宋" w:cs="仿宋"/>
          <w:sz w:val="28"/>
          <w:szCs w:val="28"/>
        </w:rPr>
        <w:tab/>
      </w:r>
      <w:bookmarkStart w:id="13" w:name="_Toc21876_WPSOffice_Level2Page"/>
      <w:r>
        <w:rPr>
          <w:rFonts w:hint="eastAsia" w:ascii="仿宋" w:hAnsi="仿宋" w:eastAsia="仿宋" w:cs="仿宋"/>
          <w:sz w:val="28"/>
          <w:szCs w:val="28"/>
        </w:rPr>
        <w:t>6</w:t>
      </w:r>
      <w:bookmarkEnd w:id="1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_Toc4966_WPSOffice_Level2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（三）项目产出情况。</w:t>
      </w:r>
      <w:r>
        <w:rPr>
          <w:rFonts w:hint="eastAsia" w:ascii="仿宋" w:hAnsi="仿宋" w:eastAsia="仿宋" w:cs="仿宋"/>
          <w:sz w:val="28"/>
          <w:szCs w:val="28"/>
        </w:rPr>
        <w:tab/>
      </w:r>
      <w:bookmarkStart w:id="14" w:name="_Toc4966_WPSOffice_Level2Page"/>
      <w:r>
        <w:rPr>
          <w:rFonts w:hint="eastAsia" w:ascii="仿宋" w:hAnsi="仿宋" w:eastAsia="仿宋" w:cs="仿宋"/>
          <w:sz w:val="28"/>
          <w:szCs w:val="28"/>
        </w:rPr>
        <w:t>6</w:t>
      </w:r>
      <w:bookmarkEnd w:id="1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_Toc5258_WPSOffice_Level2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（四）项目效益情况。</w:t>
      </w:r>
      <w:r>
        <w:rPr>
          <w:rFonts w:hint="eastAsia" w:ascii="仿宋" w:hAnsi="仿宋" w:eastAsia="仿宋" w:cs="仿宋"/>
          <w:sz w:val="28"/>
          <w:szCs w:val="28"/>
        </w:rPr>
        <w:tab/>
      </w:r>
      <w:bookmarkStart w:id="15" w:name="_Toc5258_WPSOffice_Level2Page"/>
      <w:r>
        <w:rPr>
          <w:rFonts w:hint="eastAsia" w:ascii="仿宋" w:hAnsi="仿宋" w:eastAsia="仿宋" w:cs="仿宋"/>
          <w:sz w:val="28"/>
          <w:szCs w:val="28"/>
        </w:rPr>
        <w:t>7</w:t>
      </w:r>
      <w:bookmarkEnd w:id="15"/>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_Toc7777_WPSOffice_Level1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五、绩效评价结果</w:t>
      </w:r>
      <w:r>
        <w:rPr>
          <w:rFonts w:hint="eastAsia" w:ascii="仿宋" w:hAnsi="仿宋" w:eastAsia="仿宋" w:cs="仿宋"/>
          <w:sz w:val="28"/>
          <w:szCs w:val="28"/>
        </w:rPr>
        <w:tab/>
      </w:r>
      <w:bookmarkStart w:id="16" w:name="_Toc7777_WPSOffice_Level1Page"/>
      <w:r>
        <w:rPr>
          <w:rFonts w:hint="eastAsia" w:ascii="仿宋" w:hAnsi="仿宋" w:eastAsia="仿宋" w:cs="仿宋"/>
          <w:sz w:val="28"/>
          <w:szCs w:val="28"/>
        </w:rPr>
        <w:t>7</w:t>
      </w:r>
      <w:bookmarkEnd w:id="1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_Toc24196_WPSOffice_Level1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六、存在的问题及原因分析</w:t>
      </w:r>
      <w:r>
        <w:rPr>
          <w:rFonts w:hint="eastAsia" w:ascii="仿宋" w:hAnsi="仿宋" w:eastAsia="仿宋" w:cs="仿宋"/>
          <w:sz w:val="28"/>
          <w:szCs w:val="28"/>
        </w:rPr>
        <w:tab/>
      </w:r>
      <w:bookmarkStart w:id="17" w:name="_Toc24196_WPSOffice_Level1Page"/>
      <w:r>
        <w:rPr>
          <w:rFonts w:hint="eastAsia" w:ascii="仿宋" w:hAnsi="仿宋" w:eastAsia="仿宋" w:cs="仿宋"/>
          <w:sz w:val="28"/>
          <w:szCs w:val="28"/>
        </w:rPr>
        <w:t>7</w:t>
      </w:r>
      <w:bookmarkEnd w:id="17"/>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_Toc13523_WPSOffice_Level1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七、有关建议</w:t>
      </w:r>
      <w:r>
        <w:rPr>
          <w:rFonts w:hint="eastAsia" w:ascii="仿宋" w:hAnsi="仿宋" w:eastAsia="仿宋" w:cs="仿宋"/>
          <w:sz w:val="28"/>
          <w:szCs w:val="28"/>
        </w:rPr>
        <w:tab/>
      </w:r>
      <w:bookmarkStart w:id="18" w:name="_Toc13523_WPSOffice_Level1Page"/>
      <w:r>
        <w:rPr>
          <w:rFonts w:hint="eastAsia" w:ascii="仿宋" w:hAnsi="仿宋" w:eastAsia="仿宋" w:cs="仿宋"/>
          <w:sz w:val="28"/>
          <w:szCs w:val="28"/>
        </w:rPr>
        <w:t>8</w:t>
      </w:r>
      <w:bookmarkEnd w:id="18"/>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_Toc7856_WPSOffice_Level1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八、其他需要说明的问题</w:t>
      </w:r>
      <w:r>
        <w:rPr>
          <w:rFonts w:hint="eastAsia" w:ascii="仿宋" w:hAnsi="仿宋" w:eastAsia="仿宋" w:cs="仿宋"/>
          <w:sz w:val="28"/>
          <w:szCs w:val="28"/>
        </w:rPr>
        <w:tab/>
      </w:r>
      <w:bookmarkStart w:id="19" w:name="_Toc7856_WPSOffice_Level1Page"/>
      <w:r>
        <w:rPr>
          <w:rFonts w:hint="eastAsia" w:ascii="仿宋" w:hAnsi="仿宋" w:eastAsia="仿宋" w:cs="仿宋"/>
          <w:sz w:val="28"/>
          <w:szCs w:val="28"/>
        </w:rPr>
        <w:t>9</w:t>
      </w:r>
      <w:bookmarkEnd w:id="19"/>
      <w:r>
        <w:rPr>
          <w:rFonts w:hint="eastAsia" w:ascii="仿宋" w:hAnsi="仿宋" w:eastAsia="仿宋" w:cs="仿宋"/>
          <w:sz w:val="28"/>
          <w:szCs w:val="28"/>
        </w:rPr>
        <w:fldChar w:fldCharType="end"/>
      </w:r>
      <w:bookmarkEnd w:id="0"/>
    </w:p>
    <w:p>
      <w:pPr>
        <w:jc w:val="left"/>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numPr>
          <w:ilvl w:val="0"/>
          <w:numId w:val="1"/>
        </w:numPr>
        <w:spacing w:line="600" w:lineRule="exact"/>
        <w:ind w:firstLine="602" w:firstLineChars="200"/>
        <w:rPr>
          <w:rFonts w:hint="eastAsia" w:ascii="仿宋" w:hAnsi="仿宋" w:eastAsia="仿宋" w:cs="仿宋"/>
          <w:b/>
          <w:bCs/>
        </w:rPr>
      </w:pPr>
      <w:bookmarkStart w:id="20" w:name="_Toc30176_WPSOffice_Level1"/>
      <w:r>
        <w:rPr>
          <w:rFonts w:hint="eastAsia" w:ascii="仿宋" w:hAnsi="仿宋" w:eastAsia="仿宋" w:cs="仿宋"/>
          <w:b/>
          <w:bCs/>
        </w:rPr>
        <w:t>部门职责</w:t>
      </w:r>
      <w:bookmarkEnd w:id="20"/>
    </w:p>
    <w:p>
      <w:pPr>
        <w:ind w:firstLine="640" w:firstLineChars="200"/>
        <w:rPr>
          <w:rFonts w:ascii="仿宋" w:hAnsi="仿宋" w:eastAsia="仿宋"/>
          <w:sz w:val="32"/>
          <w:szCs w:val="32"/>
        </w:rPr>
      </w:pPr>
      <w:r>
        <w:rPr>
          <w:rFonts w:hint="eastAsia" w:ascii="仿宋" w:hAnsi="仿宋" w:eastAsia="仿宋"/>
          <w:sz w:val="32"/>
          <w:szCs w:val="32"/>
        </w:rPr>
        <w:t>1、贯彻执行党和国家文化、文物、广播电视、旅游和体育工作方针政策和法律法规。研究拟订全县文化、文物、广播电视、旅游和体育政策措施，起草规范性文件。</w:t>
      </w:r>
    </w:p>
    <w:p>
      <w:pPr>
        <w:ind w:firstLine="640" w:firstLineChars="200"/>
        <w:rPr>
          <w:rFonts w:hint="eastAsia" w:ascii="仿宋" w:hAnsi="仿宋" w:eastAsia="仿宋"/>
          <w:sz w:val="32"/>
          <w:szCs w:val="32"/>
        </w:rPr>
      </w:pPr>
      <w:r>
        <w:rPr>
          <w:rFonts w:hint="eastAsia" w:ascii="仿宋" w:hAnsi="仿宋" w:eastAsia="仿宋"/>
          <w:sz w:val="32"/>
          <w:szCs w:val="32"/>
        </w:rPr>
        <w:t>2、拟订全县文化文物广播电视事业、文化产业、旅游业和体育发展规划并组织实施，推进文化和旅游融合发展，推进文化、文物、广播电视、旅游和体育体制机制改革。</w:t>
      </w:r>
    </w:p>
    <w:p>
      <w:pPr>
        <w:ind w:firstLine="640" w:firstLineChars="200"/>
        <w:rPr>
          <w:rFonts w:hint="eastAsia" w:ascii="仿宋" w:hAnsi="仿宋" w:eastAsia="仿宋"/>
          <w:sz w:val="32"/>
          <w:szCs w:val="32"/>
        </w:rPr>
      </w:pPr>
      <w:r>
        <w:rPr>
          <w:rFonts w:hint="eastAsia" w:ascii="仿宋" w:hAnsi="仿宋" w:eastAsia="仿宋"/>
          <w:sz w:val="32"/>
          <w:szCs w:val="32"/>
        </w:rPr>
        <w:t>3、管理全县性重大文化活动。指导全县重点文化设施建设，组织实施全县广播电视公共服务重大公益工程和公益活动，指导和监管全县广播电视重点基础设施建设。组织玉田旅游整体形象推广，促进文化产业和旅游产业对外合作和国际市场推广，制定全县旅游市场开发营销战略并组织实施，指导、推进全域旅游。</w:t>
      </w:r>
    </w:p>
    <w:p>
      <w:pPr>
        <w:ind w:firstLine="640" w:firstLineChars="200"/>
        <w:rPr>
          <w:rFonts w:hint="eastAsia" w:ascii="仿宋" w:hAnsi="仿宋" w:eastAsia="仿宋"/>
          <w:sz w:val="32"/>
          <w:szCs w:val="32"/>
        </w:rPr>
      </w:pPr>
      <w:r>
        <w:rPr>
          <w:rFonts w:hint="eastAsia" w:ascii="仿宋" w:hAnsi="仿宋" w:eastAsia="仿宋"/>
          <w:sz w:val="32"/>
          <w:szCs w:val="32"/>
        </w:rPr>
        <w:t>4、指导、管理全县文艺事业。指导艺术创作生产，扶持体现社会主义和核心价值观、具有导向性代表性示范性的文艺作品，推动全县各门类艺术、个艺术品种发展。</w:t>
      </w:r>
    </w:p>
    <w:p>
      <w:pPr>
        <w:ind w:firstLine="640" w:firstLineChars="200"/>
        <w:rPr>
          <w:rFonts w:hint="eastAsia" w:ascii="仿宋" w:hAnsi="仿宋" w:eastAsia="仿宋"/>
          <w:sz w:val="32"/>
          <w:szCs w:val="32"/>
        </w:rPr>
      </w:pPr>
      <w:r>
        <w:rPr>
          <w:rFonts w:hint="eastAsia" w:ascii="仿宋" w:hAnsi="仿宋" w:eastAsia="仿宋"/>
          <w:sz w:val="32"/>
          <w:szCs w:val="32"/>
        </w:rPr>
        <w:t>5、负责全县公共文化事业发展。推进全县文化、文物、广播电视和旅游公共服务体系建设，深入实施文化惠民工程，统筹推进全县基本公共文化服务标准化、均等化。</w:t>
      </w:r>
    </w:p>
    <w:p>
      <w:pPr>
        <w:ind w:firstLine="640" w:firstLineChars="200"/>
        <w:rPr>
          <w:rFonts w:hint="eastAsia" w:ascii="仿宋" w:hAnsi="仿宋" w:eastAsia="仿宋"/>
          <w:sz w:val="32"/>
          <w:szCs w:val="32"/>
        </w:rPr>
      </w:pPr>
      <w:r>
        <w:rPr>
          <w:rFonts w:hint="eastAsia" w:ascii="仿宋" w:hAnsi="仿宋" w:eastAsia="仿宋"/>
          <w:sz w:val="32"/>
          <w:szCs w:val="32"/>
        </w:rPr>
        <w:t>6、指导、推进全县文化、文物、广播电视和旅游科技创新发展，突进文化、文物、广播电视和旅游行业信息化、标准化建设。促进智慧文化、文物、广播电视和旅游发展。</w:t>
      </w:r>
    </w:p>
    <w:p>
      <w:pPr>
        <w:ind w:firstLine="640" w:firstLineChars="200"/>
        <w:rPr>
          <w:rFonts w:hint="eastAsia" w:ascii="仿宋" w:hAnsi="仿宋" w:eastAsia="仿宋"/>
          <w:sz w:val="32"/>
          <w:szCs w:val="32"/>
        </w:rPr>
      </w:pPr>
      <w:r>
        <w:rPr>
          <w:rFonts w:hint="eastAsia" w:ascii="仿宋" w:hAnsi="仿宋" w:eastAsia="仿宋"/>
          <w:sz w:val="32"/>
          <w:szCs w:val="32"/>
        </w:rPr>
        <w:t>7、负责全县非物质文化遗产保护，推动非物质文化遗产的保护传承、普及、弘扬和振兴。</w:t>
      </w:r>
    </w:p>
    <w:p>
      <w:pPr>
        <w:ind w:firstLine="640" w:firstLineChars="200"/>
        <w:rPr>
          <w:rFonts w:hint="eastAsia" w:ascii="仿宋" w:hAnsi="仿宋" w:eastAsia="仿宋"/>
          <w:sz w:val="32"/>
          <w:szCs w:val="32"/>
        </w:rPr>
      </w:pPr>
      <w:r>
        <w:rPr>
          <w:rFonts w:hint="eastAsia" w:ascii="仿宋" w:hAnsi="仿宋" w:eastAsia="仿宋"/>
          <w:sz w:val="32"/>
          <w:szCs w:val="32"/>
        </w:rPr>
        <w:t>8、统筹规划全县文化、广播电视和旅游产业。组织实施文化、文物、广播电视和旅游资源普查、挖掘、保护利用工作，促进文化产业、广播电视产业和旅游产业发展。</w:t>
      </w:r>
    </w:p>
    <w:p>
      <w:pPr>
        <w:ind w:firstLine="640" w:firstLineChars="200"/>
        <w:rPr>
          <w:rFonts w:hint="eastAsia" w:ascii="仿宋" w:hAnsi="仿宋" w:eastAsia="仿宋"/>
          <w:sz w:val="32"/>
          <w:szCs w:val="32"/>
        </w:rPr>
      </w:pPr>
      <w:r>
        <w:rPr>
          <w:rFonts w:hint="eastAsia" w:ascii="仿宋" w:hAnsi="仿宋" w:eastAsia="仿宋"/>
          <w:sz w:val="32"/>
          <w:szCs w:val="32"/>
        </w:rPr>
        <w:t>9、指导全县文化、文物、广播电视和旅游市场发展。对文化、文物、广播电视和旅游市场经营进行行业监管，会同有关部门对全县网络视听节目服务机构进行管理，组织查处重大违法违规行为，推进全县文化、文物、广播电视和旅游行业信用体系建设，依法规范文化、文物、广播电视和旅游市场。</w:t>
      </w:r>
    </w:p>
    <w:p>
      <w:pPr>
        <w:ind w:firstLine="640" w:firstLineChars="200"/>
        <w:rPr>
          <w:rFonts w:hint="eastAsia" w:ascii="仿宋" w:hAnsi="仿宋" w:eastAsia="仿宋"/>
          <w:sz w:val="32"/>
          <w:szCs w:val="32"/>
        </w:rPr>
      </w:pPr>
      <w:r>
        <w:rPr>
          <w:rFonts w:hint="eastAsia" w:ascii="仿宋" w:hAnsi="仿宋" w:eastAsia="仿宋"/>
          <w:sz w:val="32"/>
          <w:szCs w:val="32"/>
        </w:rPr>
        <w:t>10、负责组织、指导全县文物保护管理工作；指导全县考古、文物修缮工作；组织、协调重大文物保护和考古项目的实施；指导全县文物和博物馆的业务工作；推进全县文物事业发展。</w:t>
      </w:r>
    </w:p>
    <w:p>
      <w:pPr>
        <w:ind w:firstLine="640" w:firstLineChars="200"/>
        <w:rPr>
          <w:rFonts w:hint="eastAsia" w:ascii="仿宋" w:hAnsi="仿宋" w:eastAsia="仿宋"/>
          <w:sz w:val="32"/>
          <w:szCs w:val="32"/>
        </w:rPr>
      </w:pPr>
      <w:r>
        <w:rPr>
          <w:rFonts w:hint="eastAsia" w:ascii="仿宋" w:hAnsi="仿宋" w:eastAsia="仿宋"/>
          <w:sz w:val="32"/>
          <w:szCs w:val="32"/>
        </w:rPr>
        <w:t>11、指导全县电视剧行业发展和电视剧创作生产，监管全县电视节目、网络视听节目和公共视听载体播放的视听节目，审查其内容和质量，指导、监管全县广播电视广告播放。</w:t>
      </w:r>
    </w:p>
    <w:p>
      <w:pPr>
        <w:ind w:firstLine="640" w:firstLineChars="200"/>
        <w:rPr>
          <w:rFonts w:hint="eastAsia" w:ascii="仿宋" w:hAnsi="仿宋" w:eastAsia="仿宋"/>
          <w:sz w:val="32"/>
          <w:szCs w:val="32"/>
        </w:rPr>
      </w:pPr>
      <w:r>
        <w:rPr>
          <w:rFonts w:hint="eastAsia" w:ascii="仿宋" w:hAnsi="仿宋" w:eastAsia="仿宋"/>
          <w:sz w:val="32"/>
          <w:szCs w:val="32"/>
        </w:rPr>
        <w:t>12、负责拟订全县广播电视科技发展规划、政策并组织实施和监督检查，负责对广播电视节目传输覆盖、监听、监看、监测的监管，推进全县应急广播体系建设，监管协调、调度全县广播电视安全播出。</w:t>
      </w:r>
    </w:p>
    <w:p>
      <w:pPr>
        <w:ind w:firstLine="640" w:firstLineChars="200"/>
        <w:rPr>
          <w:rFonts w:hint="eastAsia" w:ascii="仿宋" w:hAnsi="仿宋" w:eastAsia="仿宋"/>
          <w:sz w:val="32"/>
          <w:szCs w:val="32"/>
        </w:rPr>
      </w:pPr>
      <w:r>
        <w:rPr>
          <w:rFonts w:hint="eastAsia" w:ascii="仿宋" w:hAnsi="仿宋" w:eastAsia="仿宋"/>
          <w:sz w:val="32"/>
          <w:szCs w:val="32"/>
        </w:rPr>
        <w:t>13、指导全县文化市场综合执法。组织查处全县性、跨区域文化、文物、出版、广播电视、电影、旅游等市场的违法行为，督查督办大案要案，维护市场秩序。</w:t>
      </w:r>
    </w:p>
    <w:p>
      <w:pPr>
        <w:ind w:firstLine="640" w:firstLineChars="200"/>
        <w:rPr>
          <w:rFonts w:hint="eastAsia" w:ascii="仿宋" w:hAnsi="仿宋" w:eastAsia="仿宋"/>
          <w:sz w:val="32"/>
          <w:szCs w:val="32"/>
        </w:rPr>
      </w:pPr>
      <w:r>
        <w:rPr>
          <w:rFonts w:hint="eastAsia" w:ascii="仿宋" w:hAnsi="仿宋" w:eastAsia="仿宋"/>
          <w:sz w:val="32"/>
          <w:szCs w:val="32"/>
        </w:rPr>
        <w:t>14、指导、管理全县文化、文物、广播电视、旅游和体育对外及对港澳台交流、合作和宣传、推广工作。代表县政府签订对外文化、文物、广播电视、旅游和体育合作协定；组织大型文化、文物、广播电视、旅游和体育对外及对港澳台交流活动，推动中华文化和玉田特色文化走出去。</w:t>
      </w:r>
    </w:p>
    <w:p>
      <w:pPr>
        <w:ind w:firstLine="640" w:firstLineChars="200"/>
        <w:rPr>
          <w:rFonts w:hint="eastAsia" w:ascii="仿宋" w:hAnsi="仿宋" w:eastAsia="仿宋"/>
          <w:sz w:val="32"/>
          <w:szCs w:val="32"/>
        </w:rPr>
      </w:pPr>
      <w:r>
        <w:rPr>
          <w:rFonts w:hint="eastAsia" w:ascii="仿宋" w:hAnsi="仿宋" w:eastAsia="仿宋"/>
          <w:sz w:val="32"/>
          <w:szCs w:val="32"/>
        </w:rPr>
        <w:t>15、统筹规划全县群众体育发展。负责推行全民健身计划，监督实施国家体育锻炼标准，推动国民体质监测，指导公共体育设施建设，负责公共体育设施的监督管理工作，指导开展群众性体育活动。</w:t>
      </w:r>
    </w:p>
    <w:p>
      <w:pPr>
        <w:ind w:firstLine="640" w:firstLineChars="200"/>
        <w:rPr>
          <w:rFonts w:hint="eastAsia" w:ascii="仿宋" w:hAnsi="仿宋" w:eastAsia="仿宋"/>
          <w:sz w:val="32"/>
          <w:szCs w:val="32"/>
        </w:rPr>
      </w:pPr>
      <w:r>
        <w:rPr>
          <w:rFonts w:hint="eastAsia" w:ascii="仿宋" w:hAnsi="仿宋" w:eastAsia="仿宋"/>
          <w:sz w:val="32"/>
          <w:szCs w:val="32"/>
        </w:rPr>
        <w:t>16、统筹规划全县竞技体育发展。负责布局设置全县竞技体育训练项目，指导协调竞技体育训练、科研以及教练员、运动员队伍建设；负责承办举办重大体育赛事活动；负责组织、协调、监督体育运动中反兴奋剂工作。</w:t>
      </w:r>
    </w:p>
    <w:p>
      <w:pPr>
        <w:ind w:firstLine="640" w:firstLineChars="200"/>
        <w:rPr>
          <w:rFonts w:hint="eastAsia" w:ascii="仿宋" w:hAnsi="仿宋" w:eastAsia="仿宋"/>
          <w:sz w:val="32"/>
          <w:szCs w:val="32"/>
        </w:rPr>
      </w:pPr>
      <w:r>
        <w:rPr>
          <w:rFonts w:hint="eastAsia" w:ascii="仿宋" w:hAnsi="仿宋" w:eastAsia="仿宋"/>
          <w:sz w:val="32"/>
          <w:szCs w:val="32"/>
        </w:rPr>
        <w:t>17、统筹规划青少年体育发展，指导和推进青少年体育工作。</w:t>
      </w:r>
    </w:p>
    <w:p>
      <w:pPr>
        <w:ind w:firstLine="640" w:firstLineChars="200"/>
        <w:rPr>
          <w:rFonts w:hint="eastAsia" w:ascii="仿宋" w:hAnsi="仿宋" w:eastAsia="仿宋"/>
          <w:sz w:val="32"/>
          <w:szCs w:val="32"/>
        </w:rPr>
      </w:pPr>
      <w:r>
        <w:rPr>
          <w:rFonts w:hint="eastAsia" w:ascii="仿宋" w:hAnsi="仿宋" w:eastAsia="仿宋"/>
          <w:sz w:val="32"/>
          <w:szCs w:val="32"/>
        </w:rPr>
        <w:t>18、拟订全县体育产业发展规划、政策，规范体育服务管理，推动体育标准化建设。</w:t>
      </w:r>
    </w:p>
    <w:p>
      <w:pPr>
        <w:ind w:firstLine="640" w:firstLineChars="200"/>
        <w:rPr>
          <w:rFonts w:hint="eastAsia" w:ascii="仿宋" w:hAnsi="仿宋" w:eastAsia="仿宋"/>
          <w:sz w:val="32"/>
          <w:szCs w:val="32"/>
        </w:rPr>
      </w:pPr>
      <w:r>
        <w:rPr>
          <w:rFonts w:hint="eastAsia" w:ascii="仿宋" w:hAnsi="仿宋" w:eastAsia="仿宋"/>
          <w:sz w:val="32"/>
          <w:szCs w:val="32"/>
        </w:rPr>
        <w:t>19、指导体育交流合作。</w:t>
      </w:r>
    </w:p>
    <w:p>
      <w:pPr>
        <w:ind w:firstLine="640" w:firstLineChars="200"/>
        <w:rPr>
          <w:rFonts w:hint="eastAsia" w:ascii="仿宋" w:hAnsi="仿宋" w:eastAsia="仿宋"/>
          <w:sz w:val="32"/>
          <w:szCs w:val="32"/>
        </w:rPr>
      </w:pPr>
      <w:r>
        <w:rPr>
          <w:rFonts w:hint="eastAsia" w:ascii="仿宋" w:hAnsi="仿宋" w:eastAsia="仿宋"/>
          <w:sz w:val="32"/>
          <w:szCs w:val="32"/>
        </w:rPr>
        <w:t>20、指导全县体育社团建设工作。</w:t>
      </w:r>
    </w:p>
    <w:p>
      <w:pPr>
        <w:ind w:firstLine="640" w:firstLineChars="200"/>
        <w:rPr>
          <w:rFonts w:hint="eastAsia" w:ascii="仿宋" w:hAnsi="仿宋" w:eastAsia="仿宋"/>
          <w:sz w:val="32"/>
          <w:szCs w:val="32"/>
        </w:rPr>
      </w:pPr>
      <w:r>
        <w:rPr>
          <w:rFonts w:hint="eastAsia" w:ascii="仿宋" w:hAnsi="仿宋" w:eastAsia="仿宋"/>
          <w:sz w:val="32"/>
          <w:szCs w:val="32"/>
        </w:rPr>
        <w:t>21、完成县委、县政府交办的其他任务。</w:t>
      </w:r>
    </w:p>
    <w:p/>
    <w:p>
      <w:pPr>
        <w:spacing w:line="600" w:lineRule="exact"/>
        <w:rPr>
          <w:rFonts w:hint="eastAsia" w:ascii="仿宋" w:hAnsi="仿宋" w:eastAsia="仿宋" w:cs="仿宋"/>
          <w:b/>
          <w:bCs/>
        </w:rPr>
      </w:pPr>
      <w:bookmarkStart w:id="21" w:name="_Toc31309_WPSOffice_Level1"/>
      <w:r>
        <w:rPr>
          <w:rFonts w:hint="eastAsia" w:ascii="仿宋" w:hAnsi="仿宋" w:eastAsia="仿宋" w:cs="仿宋"/>
          <w:b/>
          <w:bCs/>
          <w:lang w:eastAsia="zh-CN"/>
        </w:rPr>
        <w:t>二</w:t>
      </w:r>
      <w:r>
        <w:rPr>
          <w:rFonts w:hint="eastAsia" w:ascii="仿宋" w:hAnsi="仿宋" w:eastAsia="仿宋" w:cs="仿宋"/>
          <w:b/>
          <w:bCs/>
        </w:rPr>
        <w:t>、绩效评价工作开展情况</w:t>
      </w:r>
      <w:bookmarkEnd w:id="21"/>
    </w:p>
    <w:p>
      <w:pPr>
        <w:spacing w:line="540" w:lineRule="exact"/>
        <w:ind w:firstLine="480" w:firstLineChars="150"/>
        <w:rPr>
          <w:rFonts w:hint="eastAsia" w:ascii="仿宋" w:hAnsi="仿宋" w:eastAsia="仿宋" w:cs="仿宋"/>
          <w:sz w:val="32"/>
          <w:szCs w:val="32"/>
        </w:rPr>
      </w:pPr>
      <w:r>
        <w:rPr>
          <w:rFonts w:hint="eastAsia" w:ascii="仿宋" w:hAnsi="仿宋" w:eastAsia="仿宋" w:cs="仿宋"/>
          <w:sz w:val="32"/>
          <w:szCs w:val="32"/>
        </w:rPr>
        <w:t>我单位以讨论绩效评价建立与实施相关的议题，按照行政事业单位绩效评价规范的要求，全面建立有效实施绩效评价工作管理，确保绩效评价覆盖单位经济和业务活动的全范围，规范单位内部整体运行。我单位根据实际情况选取典型的数额较大的且年度支出率较大的项目：</w:t>
      </w:r>
      <w:r>
        <w:rPr>
          <w:rFonts w:hint="eastAsia" w:ascii="仿宋" w:hAnsi="仿宋" w:eastAsia="仿宋" w:cs="仿宋"/>
          <w:color w:val="000000"/>
          <w:spacing w:val="0"/>
          <w:w w:val="100"/>
          <w:position w:val="0"/>
          <w:sz w:val="32"/>
          <w:szCs w:val="32"/>
          <w:u w:val="single"/>
          <w:lang w:val="en-US" w:eastAsia="zh-CN"/>
        </w:rPr>
        <w:t xml:space="preserve">体育器材购置 </w:t>
      </w:r>
      <w:r>
        <w:rPr>
          <w:rFonts w:hint="eastAsia" w:ascii="仿宋" w:hAnsi="仿宋" w:eastAsia="仿宋" w:cs="仿宋"/>
          <w:color w:val="000000"/>
          <w:kern w:val="0"/>
          <w:sz w:val="32"/>
          <w:szCs w:val="32"/>
        </w:rPr>
        <w:t>。</w:t>
      </w:r>
    </w:p>
    <w:p>
      <w:pPr>
        <w:spacing w:line="540" w:lineRule="exact"/>
        <w:rPr>
          <w:rFonts w:hint="eastAsia" w:ascii="仿宋" w:hAnsi="仿宋" w:eastAsia="仿宋" w:cs="仿宋"/>
          <w:sz w:val="32"/>
          <w:szCs w:val="32"/>
        </w:rPr>
      </w:pPr>
      <w:r>
        <w:rPr>
          <w:rFonts w:hint="eastAsia" w:ascii="仿宋" w:hAnsi="仿宋" w:eastAsia="仿宋" w:cs="仿宋"/>
          <w:sz w:val="32"/>
          <w:szCs w:val="32"/>
        </w:rPr>
        <w:t xml:space="preserve">   </w:t>
      </w:r>
      <w:bookmarkStart w:id="22" w:name="_Toc4762_WPSOffice_Level2"/>
      <w:r>
        <w:rPr>
          <w:rFonts w:hint="eastAsia" w:ascii="仿宋" w:hAnsi="仿宋" w:eastAsia="仿宋" w:cs="仿宋"/>
          <w:sz w:val="32"/>
          <w:szCs w:val="32"/>
        </w:rPr>
        <w:t>（一）绩效评价目的与原则</w:t>
      </w:r>
      <w:bookmarkEnd w:id="22"/>
    </w:p>
    <w:p>
      <w:pPr>
        <w:spacing w:line="540" w:lineRule="exact"/>
        <w:ind w:firstLine="640"/>
        <w:rPr>
          <w:rFonts w:hint="eastAsia" w:ascii="仿宋" w:hAnsi="仿宋" w:eastAsia="仿宋" w:cs="仿宋"/>
          <w:sz w:val="32"/>
          <w:szCs w:val="32"/>
        </w:rPr>
      </w:pPr>
      <w:r>
        <w:rPr>
          <w:rFonts w:hint="eastAsia" w:ascii="仿宋" w:hAnsi="仿宋" w:eastAsia="仿宋" w:cs="仿宋"/>
          <w:sz w:val="32"/>
          <w:szCs w:val="32"/>
        </w:rPr>
        <w:t>讨论绩效评价实施的工作方案，健全工作机制，按照评价要求，建立适合本单位实际情况的实质体系，全面梳理业务流程，明确业务环节，有效运用，对本单位绩效评价的全面性，重要性和有效性进行自我提升，对照检查并针对存在的问题抓好整改落实，进一步健全制度，提高执行力，完善监督措施，确保绩效评价有效实施。体现财政资金的“结果导向”和“公众满意导向”。</w:t>
      </w:r>
    </w:p>
    <w:p>
      <w:pPr>
        <w:spacing w:line="540" w:lineRule="exact"/>
        <w:ind w:firstLine="640" w:firstLineChars="200"/>
        <w:rPr>
          <w:rFonts w:hint="eastAsia" w:ascii="仿宋" w:hAnsi="仿宋" w:eastAsia="仿宋" w:cs="仿宋"/>
          <w:sz w:val="32"/>
          <w:szCs w:val="32"/>
        </w:rPr>
      </w:pPr>
      <w:bookmarkStart w:id="23" w:name="_Toc27178_WPSOffice_Level2"/>
      <w:r>
        <w:rPr>
          <w:rFonts w:hint="eastAsia" w:ascii="仿宋" w:hAnsi="仿宋" w:eastAsia="仿宋" w:cs="仿宋"/>
          <w:sz w:val="32"/>
          <w:szCs w:val="32"/>
        </w:rPr>
        <w:t>（二）评价依据</w:t>
      </w:r>
      <w:bookmarkEnd w:id="23"/>
    </w:p>
    <w:p>
      <w:pPr>
        <w:numPr>
          <w:ilvl w:val="0"/>
          <w:numId w:val="0"/>
        </w:numPr>
        <w:spacing w:line="600" w:lineRule="exact"/>
        <w:rPr>
          <w:rFonts w:hint="eastAsia" w:ascii="仿宋" w:hAnsi="仿宋" w:eastAsia="仿宋" w:cs="仿宋"/>
        </w:rPr>
      </w:pPr>
      <w:r>
        <w:rPr>
          <w:rFonts w:hint="eastAsia" w:ascii="仿宋" w:hAnsi="仿宋" w:eastAsia="仿宋" w:cs="仿宋"/>
        </w:rPr>
        <w:t>（1）《中华人民共和国预算法》（2014 年修订）；</w:t>
      </w:r>
    </w:p>
    <w:p>
      <w:pPr>
        <w:numPr>
          <w:ilvl w:val="0"/>
          <w:numId w:val="0"/>
        </w:numPr>
        <w:spacing w:line="600" w:lineRule="exact"/>
        <w:ind w:left="600" w:hanging="600" w:hangingChars="200"/>
        <w:rPr>
          <w:rFonts w:hint="eastAsia" w:ascii="仿宋" w:hAnsi="仿宋" w:eastAsia="仿宋" w:cs="仿宋"/>
        </w:rPr>
      </w:pPr>
      <w:r>
        <w:rPr>
          <w:rFonts w:hint="eastAsia" w:ascii="仿宋" w:hAnsi="仿宋" w:eastAsia="仿宋" w:cs="仿宋"/>
        </w:rPr>
        <w:t>（2）《中共中央国务院关于全面实施预算绩效管理的意见》（中发〔2018〕34 号）；</w:t>
      </w:r>
    </w:p>
    <w:p>
      <w:pPr>
        <w:numPr>
          <w:ilvl w:val="0"/>
          <w:numId w:val="0"/>
        </w:numPr>
        <w:spacing w:line="600" w:lineRule="exact"/>
        <w:ind w:left="900" w:hanging="900" w:hangingChars="300"/>
        <w:rPr>
          <w:rFonts w:hint="eastAsia" w:ascii="仿宋" w:hAnsi="仿宋" w:eastAsia="仿宋" w:cs="仿宋"/>
        </w:rPr>
      </w:pPr>
      <w:r>
        <w:rPr>
          <w:rFonts w:hint="eastAsia" w:ascii="仿宋" w:hAnsi="仿宋" w:eastAsia="仿宋" w:cs="仿宋"/>
        </w:rPr>
        <w:t>（3）《中共河北省委河北省人民政府关于全面实施预算绩效管理的实施意见》（冀发〔2018〕54 号）；</w:t>
      </w:r>
    </w:p>
    <w:p>
      <w:pPr>
        <w:numPr>
          <w:ilvl w:val="0"/>
          <w:numId w:val="0"/>
        </w:numPr>
        <w:spacing w:line="600" w:lineRule="exact"/>
        <w:rPr>
          <w:rFonts w:hint="eastAsia" w:ascii="仿宋" w:hAnsi="仿宋" w:eastAsia="仿宋" w:cs="仿宋"/>
        </w:rPr>
      </w:pPr>
      <w:r>
        <w:rPr>
          <w:rFonts w:hint="eastAsia" w:ascii="仿宋" w:hAnsi="仿宋" w:eastAsia="仿宋" w:cs="仿宋"/>
        </w:rPr>
        <w:t>（4）项目相关申报材料、财政部门预算批复、项目基本信息表、项目绩效目标申报表；</w:t>
      </w:r>
    </w:p>
    <w:p>
      <w:pPr>
        <w:numPr>
          <w:ilvl w:val="0"/>
          <w:numId w:val="0"/>
        </w:numPr>
        <w:spacing w:line="600" w:lineRule="exact"/>
        <w:ind w:left="600" w:hanging="600" w:hangingChars="200"/>
        <w:rPr>
          <w:rFonts w:hint="eastAsia" w:ascii="仿宋" w:hAnsi="仿宋" w:eastAsia="仿宋" w:cs="仿宋"/>
        </w:rPr>
      </w:pPr>
      <w:r>
        <w:rPr>
          <w:rFonts w:hint="eastAsia" w:ascii="仿宋" w:hAnsi="仿宋" w:eastAsia="仿宋" w:cs="仿宋"/>
        </w:rPr>
        <w:t>（5）项目单位职能职责、年度工作计划、总结，项目实施（建设）方案；</w:t>
      </w:r>
    </w:p>
    <w:p>
      <w:pPr>
        <w:numPr>
          <w:ilvl w:val="0"/>
          <w:numId w:val="0"/>
        </w:numPr>
        <w:spacing w:line="600" w:lineRule="exact"/>
        <w:rPr>
          <w:rFonts w:hint="eastAsia" w:ascii="仿宋" w:hAnsi="仿宋" w:eastAsia="仿宋" w:cs="仿宋"/>
        </w:rPr>
      </w:pPr>
      <w:r>
        <w:rPr>
          <w:rFonts w:hint="eastAsia" w:ascii="仿宋" w:hAnsi="仿宋" w:eastAsia="仿宋" w:cs="仿宋"/>
        </w:rPr>
        <w:t>（6）相关预算管理制度、财务管理办法，财务会计资料；</w:t>
      </w:r>
    </w:p>
    <w:p>
      <w:pPr>
        <w:numPr>
          <w:ilvl w:val="0"/>
          <w:numId w:val="0"/>
        </w:numPr>
        <w:spacing w:line="600" w:lineRule="exact"/>
        <w:rPr>
          <w:rFonts w:hint="eastAsia" w:ascii="仿宋" w:hAnsi="仿宋" w:eastAsia="仿宋" w:cs="仿宋"/>
        </w:rPr>
      </w:pPr>
      <w:r>
        <w:rPr>
          <w:rFonts w:hint="eastAsia" w:ascii="仿宋" w:hAnsi="仿宋" w:eastAsia="仿宋" w:cs="仿宋"/>
        </w:rPr>
        <w:t>（7）其他项目相关材料。</w:t>
      </w:r>
    </w:p>
    <w:p>
      <w:pPr>
        <w:numPr>
          <w:ilvl w:val="0"/>
          <w:numId w:val="0"/>
        </w:numPr>
        <w:spacing w:line="600" w:lineRule="exact"/>
        <w:ind w:firstLine="300" w:firstLineChars="100"/>
        <w:rPr>
          <w:rFonts w:hint="eastAsia" w:ascii="仿宋" w:hAnsi="仿宋" w:eastAsia="仿宋" w:cs="仿宋"/>
        </w:rPr>
      </w:pPr>
      <w:bookmarkStart w:id="24" w:name="_Toc3714_WPSOffice_Level2"/>
      <w:r>
        <w:rPr>
          <w:rFonts w:hint="eastAsia" w:ascii="仿宋" w:hAnsi="仿宋" w:eastAsia="仿宋" w:cs="仿宋"/>
        </w:rPr>
        <w:t>（三）评价思路与程序</w:t>
      </w:r>
      <w:bookmarkEnd w:id="24"/>
    </w:p>
    <w:p>
      <w:pPr>
        <w:numPr>
          <w:ilvl w:val="0"/>
          <w:numId w:val="0"/>
        </w:numPr>
        <w:spacing w:line="600" w:lineRule="exact"/>
        <w:ind w:firstLine="600" w:firstLineChars="200"/>
        <w:rPr>
          <w:rFonts w:hint="eastAsia" w:ascii="仿宋" w:hAnsi="仿宋" w:eastAsia="仿宋" w:cs="仿宋"/>
        </w:rPr>
      </w:pPr>
      <w:r>
        <w:rPr>
          <w:rFonts w:hint="eastAsia" w:ascii="仿宋" w:hAnsi="仿宋" w:eastAsia="仿宋" w:cs="仿宋"/>
        </w:rPr>
        <w:t>财政资金</w:t>
      </w:r>
      <w:r>
        <w:rPr>
          <w:rFonts w:hint="eastAsia" w:ascii="仿宋" w:hAnsi="仿宋" w:eastAsia="仿宋" w:cs="仿宋"/>
          <w:lang w:eastAsia="zh-CN"/>
        </w:rPr>
        <w:t>重点</w:t>
      </w:r>
      <w:r>
        <w:rPr>
          <w:rFonts w:hint="eastAsia" w:ascii="仿宋" w:hAnsi="仿宋" w:eastAsia="仿宋" w:cs="仿宋"/>
        </w:rPr>
        <w:t>绩效评价工作评估绩效水平，发现问题，提供改善对策的分析框架与分析方法，为全面推进政府财政支出项目绩效评价，建设绩效财政、阳光财政积累经验。具体而言，一是关注专项资金可能产生的问题，包括财政支出的范围和对象。二是关注指标体系及评价流程的优化，充分考虑评价统一性（一级指标统一）与被评对象的差异性（二级指标、三级指标更具针对性）。三是关注现场核查的抽样设计尽可能科学合理，方便操作。</w:t>
      </w:r>
    </w:p>
    <w:p>
      <w:pPr>
        <w:numPr>
          <w:ilvl w:val="0"/>
          <w:numId w:val="0"/>
        </w:numPr>
        <w:spacing w:line="600" w:lineRule="exact"/>
        <w:ind w:firstLine="300" w:firstLineChars="100"/>
        <w:rPr>
          <w:rFonts w:hint="eastAsia" w:ascii="仿宋" w:hAnsi="仿宋" w:eastAsia="仿宋" w:cs="仿宋"/>
        </w:rPr>
      </w:pPr>
      <w:bookmarkStart w:id="25" w:name="_Toc15123_WPSOffice_Level2"/>
      <w:r>
        <w:rPr>
          <w:rFonts w:hint="eastAsia" w:ascii="仿宋" w:hAnsi="仿宋" w:eastAsia="仿宋" w:cs="仿宋"/>
        </w:rPr>
        <w:t>（</w:t>
      </w:r>
      <w:r>
        <w:rPr>
          <w:rFonts w:hint="eastAsia" w:ascii="仿宋" w:hAnsi="仿宋" w:eastAsia="仿宋" w:cs="仿宋"/>
          <w:lang w:eastAsia="zh-CN"/>
        </w:rPr>
        <w:t>四</w:t>
      </w:r>
      <w:r>
        <w:rPr>
          <w:rFonts w:hint="eastAsia" w:ascii="仿宋" w:hAnsi="仿宋" w:eastAsia="仿宋" w:cs="仿宋"/>
        </w:rPr>
        <w:t>）本次绩效评价的局限性</w:t>
      </w:r>
      <w:bookmarkEnd w:id="25"/>
    </w:p>
    <w:p>
      <w:pPr>
        <w:numPr>
          <w:ilvl w:val="0"/>
          <w:numId w:val="0"/>
        </w:numPr>
        <w:spacing w:line="600" w:lineRule="exact"/>
        <w:ind w:firstLine="600" w:firstLineChars="200"/>
        <w:rPr>
          <w:rFonts w:hint="eastAsia" w:ascii="仿宋" w:hAnsi="仿宋" w:eastAsia="仿宋" w:cs="仿宋"/>
        </w:rPr>
      </w:pPr>
      <w:r>
        <w:rPr>
          <w:rFonts w:hint="eastAsia" w:ascii="仿宋" w:hAnsi="仿宋" w:eastAsia="仿宋" w:cs="仿宋"/>
          <w:lang w:val="en-US" w:eastAsia="zh-CN"/>
        </w:rPr>
        <w:t>1、</w:t>
      </w:r>
      <w:r>
        <w:rPr>
          <w:rFonts w:hint="eastAsia" w:ascii="仿宋" w:hAnsi="仿宋" w:eastAsia="仿宋" w:cs="仿宋"/>
        </w:rPr>
        <w:t>本次绩效评价工作中由于资料、数据、凭证较多，受时间所限，在资料审查与现场检查中，采用了抽样的方法进行审核。抽样调查，是一种非全面调查，它是从全部调查研究对象中，抽选一部分单位进行调查，并据以对全部调查研究对象做出估计和推断的一种调查方法。显然，抽样调查虽然是非全面调查，但它的目的却在于取得反映总体情况的信息资料，因而，也可起到全面调查的作用。抽样调查结果和真实值之间存在误差，而且样本的质量影响结论的可靠性。本次报告的结论主要基于抽样的样本做出的。</w:t>
      </w:r>
    </w:p>
    <w:p>
      <w:pPr>
        <w:numPr>
          <w:ilvl w:val="0"/>
          <w:numId w:val="0"/>
        </w:numPr>
        <w:spacing w:line="600" w:lineRule="exact"/>
        <w:ind w:firstLine="600" w:firstLineChars="200"/>
        <w:rPr>
          <w:rFonts w:hint="eastAsia" w:ascii="仿宋" w:hAnsi="仿宋" w:eastAsia="仿宋" w:cs="仿宋"/>
        </w:rPr>
      </w:pPr>
      <w:r>
        <w:rPr>
          <w:rFonts w:hint="eastAsia" w:ascii="仿宋" w:hAnsi="仿宋" w:eastAsia="仿宋" w:cs="仿宋"/>
          <w:lang w:val="en-US" w:eastAsia="zh-CN"/>
        </w:rPr>
        <w:t>2、</w:t>
      </w:r>
      <w:r>
        <w:rPr>
          <w:rFonts w:hint="eastAsia" w:ascii="仿宋" w:hAnsi="仿宋" w:eastAsia="仿宋" w:cs="仿宋"/>
        </w:rPr>
        <w:t xml:space="preserve"> 由于工作性质的特殊性，工作任务主要是</w:t>
      </w:r>
      <w:r>
        <w:rPr>
          <w:rFonts w:hint="eastAsia" w:ascii="仿宋" w:hAnsi="仿宋" w:eastAsia="仿宋" w:cs="仿宋"/>
          <w:lang w:val="en-US" w:eastAsia="zh-CN"/>
        </w:rPr>
        <w:t>提升基础设施建设</w:t>
      </w:r>
      <w:r>
        <w:rPr>
          <w:rFonts w:hint="eastAsia" w:ascii="仿宋" w:hAnsi="仿宋" w:eastAsia="仿宋" w:cs="仿宋"/>
        </w:rPr>
        <w:t>和</w:t>
      </w:r>
      <w:r>
        <w:rPr>
          <w:rFonts w:hint="eastAsia" w:ascii="仿宋" w:hAnsi="仿宋" w:eastAsia="仿宋" w:cs="仿宋"/>
          <w:lang w:val="en-US" w:eastAsia="zh-CN"/>
        </w:rPr>
        <w:t>改善广大群众锻炼环境</w:t>
      </w:r>
      <w:r>
        <w:rPr>
          <w:rFonts w:hint="eastAsia" w:ascii="仿宋" w:hAnsi="仿宋" w:eastAsia="仿宋" w:cs="仿宋"/>
        </w:rPr>
        <w:t>，从而项目的经济效益、社会效益的评价无法定量估计。</w:t>
      </w:r>
    </w:p>
    <w:p>
      <w:pPr>
        <w:numPr>
          <w:ilvl w:val="0"/>
          <w:numId w:val="0"/>
        </w:numPr>
        <w:spacing w:line="600" w:lineRule="exact"/>
        <w:ind w:firstLine="600" w:firstLineChars="200"/>
        <w:rPr>
          <w:rFonts w:hint="eastAsia" w:ascii="仿宋" w:hAnsi="仿宋" w:eastAsia="仿宋" w:cs="仿宋"/>
        </w:rPr>
      </w:pPr>
      <w:r>
        <w:rPr>
          <w:rFonts w:hint="eastAsia" w:ascii="仿宋" w:hAnsi="仿宋" w:eastAsia="仿宋" w:cs="仿宋"/>
          <w:lang w:val="en-US" w:eastAsia="zh-CN"/>
        </w:rPr>
        <w:t>3、</w:t>
      </w:r>
      <w:r>
        <w:rPr>
          <w:rFonts w:hint="eastAsia" w:ascii="仿宋" w:hAnsi="仿宋" w:eastAsia="仿宋" w:cs="仿宋"/>
        </w:rPr>
        <w:t>绩效评价工作处在初步推广阶段，部分部门和人员对其认识有些尚浅，在资料提供与准备方面尚缺经验，一定程度上影响了工作效率。</w:t>
      </w:r>
    </w:p>
    <w:p>
      <w:pPr>
        <w:numPr>
          <w:ilvl w:val="0"/>
          <w:numId w:val="0"/>
        </w:numPr>
        <w:spacing w:line="600" w:lineRule="exact"/>
        <w:ind w:firstLine="602" w:firstLineChars="200"/>
        <w:rPr>
          <w:rFonts w:hint="eastAsia" w:ascii="仿宋" w:hAnsi="仿宋" w:eastAsia="仿宋" w:cs="仿宋"/>
          <w:b/>
          <w:bCs/>
        </w:rPr>
      </w:pPr>
      <w:bookmarkStart w:id="26" w:name="_Toc22655_WPSOffice_Level1"/>
      <w:r>
        <w:rPr>
          <w:rFonts w:hint="eastAsia" w:ascii="仿宋" w:hAnsi="仿宋" w:eastAsia="仿宋" w:cs="仿宋"/>
          <w:b/>
          <w:bCs/>
          <w:lang w:eastAsia="zh-CN"/>
        </w:rPr>
        <w:t>三、项目总体情况</w:t>
      </w:r>
      <w:bookmarkEnd w:id="26"/>
    </w:p>
    <w:p>
      <w:pPr>
        <w:spacing w:line="600" w:lineRule="exact"/>
        <w:ind w:firstLine="600" w:firstLineChars="200"/>
        <w:outlineLvl w:val="0"/>
        <w:rPr>
          <w:rFonts w:hint="eastAsia" w:ascii="仿宋" w:hAnsi="仿宋" w:eastAsia="仿宋" w:cs="仿宋"/>
          <w:lang w:eastAsia="zh-CN"/>
        </w:rPr>
      </w:pPr>
      <w:bookmarkStart w:id="27" w:name="_Toc1808_WPSOffice_Level2"/>
      <w:r>
        <w:rPr>
          <w:rFonts w:hint="eastAsia" w:ascii="仿宋" w:hAnsi="仿宋" w:eastAsia="仿宋" w:cs="仿宋"/>
          <w:lang w:eastAsia="zh-CN"/>
        </w:rPr>
        <w:t>（一）立项背景及目的</w:t>
      </w:r>
      <w:bookmarkEnd w:id="27"/>
    </w:p>
    <w:p>
      <w:pPr>
        <w:spacing w:line="600" w:lineRule="exact"/>
        <w:ind w:firstLine="640" w:firstLineChars="200"/>
        <w:outlineLvl w:val="0"/>
        <w:rPr>
          <w:rFonts w:hint="eastAsia" w:ascii="仿宋" w:hAnsi="仿宋" w:eastAsia="仿宋_GB2312" w:cs="仿宋"/>
          <w:lang w:eastAsia="zh-CN"/>
        </w:rPr>
      </w:pPr>
      <w:r>
        <w:rPr>
          <w:rFonts w:ascii="仿宋_GB2312" w:eastAsia="仿宋_GB2312"/>
          <w:sz w:val="32"/>
          <w:szCs w:val="32"/>
        </w:rPr>
        <w:t>按照唐山市2</w:t>
      </w:r>
      <w:r>
        <w:rPr>
          <w:rFonts w:hint="eastAsia" w:ascii="仿宋_GB2312" w:eastAsia="仿宋_GB2312"/>
          <w:sz w:val="32"/>
          <w:szCs w:val="32"/>
        </w:rPr>
        <w:t>02</w:t>
      </w:r>
      <w:r>
        <w:rPr>
          <w:rFonts w:hint="eastAsia" w:ascii="仿宋_GB2312"/>
          <w:sz w:val="32"/>
          <w:szCs w:val="32"/>
          <w:lang w:val="en-US" w:eastAsia="zh-CN"/>
        </w:rPr>
        <w:t>3</w:t>
      </w:r>
      <w:r>
        <w:rPr>
          <w:rFonts w:hint="eastAsia" w:ascii="仿宋_GB2312" w:eastAsia="仿宋_GB2312"/>
          <w:sz w:val="32"/>
          <w:szCs w:val="32"/>
        </w:rPr>
        <w:t>年民心工程要求，加强行政村（社区）等基层场所体育健身设施建设，努力满足县域城乡人民群众对体育健身的需求，营造良好的环境和设施保障</w:t>
      </w:r>
      <w:r>
        <w:rPr>
          <w:rFonts w:hint="eastAsia" w:ascii="仿宋_GB2312"/>
          <w:sz w:val="32"/>
          <w:szCs w:val="32"/>
          <w:lang w:eastAsia="zh-CN"/>
        </w:rPr>
        <w:t>。</w:t>
      </w:r>
    </w:p>
    <w:p>
      <w:pPr>
        <w:numPr>
          <w:ilvl w:val="0"/>
          <w:numId w:val="2"/>
        </w:numPr>
        <w:spacing w:line="600" w:lineRule="exact"/>
        <w:ind w:firstLine="600" w:firstLineChars="200"/>
        <w:outlineLvl w:val="0"/>
        <w:rPr>
          <w:rFonts w:hint="eastAsia" w:ascii="仿宋" w:hAnsi="仿宋" w:eastAsia="仿宋" w:cs="仿宋"/>
          <w:lang w:eastAsia="zh-CN"/>
        </w:rPr>
      </w:pPr>
      <w:bookmarkStart w:id="28" w:name="_Toc22094_WPSOffice_Level2"/>
      <w:r>
        <w:rPr>
          <w:rFonts w:hint="eastAsia" w:ascii="仿宋" w:hAnsi="仿宋" w:eastAsia="仿宋" w:cs="仿宋"/>
          <w:lang w:eastAsia="zh-CN"/>
        </w:rPr>
        <w:t>项目总体绩效目标</w:t>
      </w:r>
      <w:bookmarkEnd w:id="28"/>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left"/>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1、</w:t>
      </w:r>
      <w:r>
        <w:rPr>
          <w:rFonts w:hint="eastAsia" w:ascii="仿宋" w:hAnsi="仿宋" w:eastAsia="仿宋" w:cs="仿宋"/>
          <w:sz w:val="32"/>
          <w:szCs w:val="32"/>
        </w:rPr>
        <w:t>为行政村（社区）配备健身器材</w:t>
      </w:r>
      <w:r>
        <w:rPr>
          <w:rFonts w:hint="eastAsia" w:ascii="仿宋" w:hAnsi="仿宋" w:eastAsia="仿宋" w:cs="仿宋"/>
          <w:sz w:val="32"/>
          <w:szCs w:val="32"/>
          <w:lang w:eastAsia="zh-CN"/>
        </w:rPr>
        <w:t>，</w:t>
      </w:r>
      <w:r>
        <w:rPr>
          <w:rFonts w:hint="eastAsia" w:ascii="仿宋" w:hAnsi="仿宋" w:eastAsia="仿宋" w:cs="仿宋"/>
          <w:sz w:val="32"/>
          <w:szCs w:val="32"/>
        </w:rPr>
        <w:t>满足广大人民群众对体育健身地需求</w:t>
      </w:r>
      <w:r>
        <w:rPr>
          <w:rFonts w:hint="eastAsia" w:ascii="仿宋" w:hAnsi="仿宋" w:eastAsia="仿宋" w:cs="仿宋"/>
          <w:sz w:val="32"/>
          <w:szCs w:val="32"/>
          <w:lang w:eastAsia="zh-CN"/>
        </w:rPr>
        <w:t>。</w:t>
      </w:r>
    </w:p>
    <w:p>
      <w:pPr>
        <w:spacing w:line="600" w:lineRule="exact"/>
        <w:ind w:firstLine="600" w:firstLineChars="200"/>
        <w:outlineLvl w:val="0"/>
        <w:rPr>
          <w:rFonts w:hint="eastAsia" w:ascii="仿宋" w:hAnsi="仿宋" w:eastAsia="仿宋" w:cs="仿宋"/>
          <w:lang w:eastAsia="zh-CN"/>
        </w:rPr>
      </w:pPr>
      <w:bookmarkStart w:id="29" w:name="_Toc18801_WPSOffice_Level2"/>
      <w:r>
        <w:rPr>
          <w:rFonts w:hint="eastAsia" w:ascii="仿宋" w:hAnsi="仿宋" w:eastAsia="仿宋" w:cs="仿宋"/>
          <w:lang w:eastAsia="zh-CN"/>
        </w:rPr>
        <w:t>（三）项目分项绩效目标</w:t>
      </w:r>
      <w:bookmarkEnd w:id="29"/>
    </w:p>
    <w:p>
      <w:pPr>
        <w:spacing w:line="50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项目共设产出指标、效果指标、满意度指标三个一级指标、下设10个二、三级指标。具体为：1、产出指标—数量指标-购置器材数量（购置器材数量（套）），指标值文字描述—健身器材1</w:t>
      </w:r>
      <w:r>
        <w:rPr>
          <w:rFonts w:hint="eastAsia" w:ascii="仿宋" w:hAnsi="仿宋" w:eastAsia="仿宋" w:cs="仿宋"/>
          <w:sz w:val="32"/>
          <w:szCs w:val="32"/>
          <w:lang w:val="en-US" w:eastAsia="zh-CN"/>
        </w:rPr>
        <w:t>00</w:t>
      </w:r>
      <w:r>
        <w:rPr>
          <w:rFonts w:hint="eastAsia" w:ascii="仿宋" w:hAnsi="仿宋" w:eastAsia="仿宋" w:cs="仿宋"/>
          <w:sz w:val="32"/>
          <w:szCs w:val="32"/>
        </w:rPr>
        <w:t>套、。产出指标—质量指标—器材合格率（购置器材合格率）。指标值=100%；产出指标—时效指标—完成率（当年器材购置任务完成情况），指标值=100%。产出指标-成本指标-品种价格，指标值低于预算价格2、效果指标—社会效益指标—当年器材购置任务完成情况（器材安装完成率），指标值=100%；效果指标—生态指标-器材安装完成率—达到绿色产业标准（不进行基础设施建设，不对生态环境产生坏的影响。），指标值=100%；效果指标—可持续影响指标—长期使用性（能够长期较好地为群众体育锻炼提供保障，长期满足人民群众对精神文化的需求。）指标值&lt;=90%。3、满意度—服务对象满意度指标—群众满意度。（群众对当年器材安装情况的整体满意度），指标值&gt;=80%；满意度指标——服务对象满意度指标—群众满意度（群众满意数量占总数的比例。），指标&gt;=80%；满意度指标—服务对象满意度指标—服务满意度（接受体育锻炼的重点人群对安装体育器材所提供服务的满意程度。指标值&gt;=80%。以上指标依据为《中华人民共和国体育法》。</w:t>
      </w:r>
    </w:p>
    <w:p>
      <w:pPr>
        <w:numPr>
          <w:ilvl w:val="0"/>
          <w:numId w:val="0"/>
        </w:numPr>
        <w:spacing w:line="600" w:lineRule="exact"/>
        <w:rPr>
          <w:rFonts w:hint="eastAsia" w:ascii="仿宋" w:hAnsi="仿宋" w:eastAsia="仿宋" w:cs="仿宋"/>
          <w:lang w:eastAsia="zh-CN"/>
        </w:rPr>
      </w:pPr>
      <w:bookmarkStart w:id="30" w:name="_Toc14430_WPSOffice_Level1"/>
      <w:r>
        <w:rPr>
          <w:rFonts w:hint="eastAsia" w:ascii="仿宋" w:hAnsi="仿宋" w:eastAsia="仿宋" w:cs="仿宋"/>
          <w:lang w:eastAsia="zh-CN"/>
        </w:rPr>
        <w:t>四、项目基本情况</w:t>
      </w:r>
      <w:bookmarkEnd w:id="30"/>
    </w:p>
    <w:p>
      <w:pPr>
        <w:spacing w:line="600" w:lineRule="exact"/>
        <w:ind w:firstLine="600" w:firstLineChars="200"/>
        <w:outlineLvl w:val="0"/>
        <w:rPr>
          <w:rFonts w:hint="eastAsia" w:ascii="仿宋" w:hAnsi="仿宋" w:eastAsia="仿宋" w:cs="仿宋"/>
          <w:highlight w:val="yellow"/>
          <w:lang w:eastAsia="zh-CN"/>
        </w:rPr>
      </w:pPr>
      <w:bookmarkStart w:id="31" w:name="_Toc4550_WPSOffice_Level2"/>
      <w:r>
        <w:rPr>
          <w:rFonts w:hint="eastAsia" w:ascii="仿宋" w:hAnsi="仿宋" w:eastAsia="仿宋" w:cs="仿宋"/>
        </w:rPr>
        <w:t>（一）项目决策情况。</w:t>
      </w:r>
      <w:bookmarkEnd w:id="31"/>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项目决策整体得分43分。</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项目立项单位得分15分。项目立项符合国家法律法规、国民经济发展规划和相关政策；符合行业发展规划和政策要求；与部门职责范围相符，属于部门履职所需；属于公共财政支持范围，符合中央、地方事权支出责任划分原则、绩效目标、资金投入；不与相关部门同类项目或部门内部相关项目重复。按照规定的程序申请设立；审批文件、材料符合相关要求；事前已经过必要的可行性研究、专家论证、风险评估、绩效评估、集体决策。</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绩效目标单位得分14分。项目有绩效目标；项目绩效目标与实际工作内容具有相关性；项目预期产出效益和效果符合正常的业绩水平；与预算确定的项目投资额或资金量相匹配。将项目绩效目标细化分解为具体的绩效指标；通过清晰、可衡量的指标值予以体现；与项目目标任务数或计划数相对应。</w:t>
      </w:r>
    </w:p>
    <w:p>
      <w:pPr>
        <w:spacing w:line="540" w:lineRule="exact"/>
        <w:rPr>
          <w:rFonts w:hint="eastAsia" w:ascii="仿宋" w:hAnsi="仿宋" w:eastAsia="仿宋" w:cs="仿宋"/>
          <w:color w:val="000000"/>
          <w:kern w:val="0"/>
          <w:sz w:val="32"/>
          <w:szCs w:val="32"/>
        </w:rPr>
      </w:pPr>
      <w:r>
        <w:rPr>
          <w:rFonts w:hint="eastAsia" w:ascii="仿宋" w:hAnsi="仿宋" w:eastAsia="仿宋" w:cs="仿宋"/>
          <w:sz w:val="32"/>
          <w:szCs w:val="32"/>
        </w:rPr>
        <w:t xml:space="preserve">    资金投入单位得分14分。预算编制经过科学论证；预算内容与项目内容匹配；</w:t>
      </w:r>
      <w:r>
        <w:rPr>
          <w:rFonts w:hint="eastAsia" w:ascii="仿宋" w:hAnsi="仿宋" w:eastAsia="仿宋" w:cs="仿宋"/>
          <w:color w:val="000000"/>
          <w:kern w:val="0"/>
          <w:sz w:val="32"/>
          <w:szCs w:val="32"/>
        </w:rPr>
        <w:t>预算额度测算依据充分，按照标准编制；预算确定的项目投资额或资金量与工作任务相匹配。预算资金分配依据充分；资金分配额度合理，与项目单位或地方实际相适应。</w:t>
      </w:r>
    </w:p>
    <w:p>
      <w:pPr>
        <w:spacing w:line="540" w:lineRule="exact"/>
        <w:ind w:firstLine="600" w:firstLineChars="200"/>
        <w:outlineLvl w:val="0"/>
        <w:rPr>
          <w:rFonts w:hint="eastAsia" w:ascii="仿宋" w:hAnsi="仿宋" w:eastAsia="仿宋" w:cs="仿宋"/>
          <w:lang w:eastAsia="zh-CN"/>
        </w:rPr>
      </w:pPr>
      <w:bookmarkStart w:id="32" w:name="_Toc21876_WPSOffice_Level2"/>
      <w:r>
        <w:rPr>
          <w:rFonts w:hint="eastAsia" w:ascii="仿宋" w:hAnsi="仿宋" w:eastAsia="仿宋" w:cs="仿宋"/>
        </w:rPr>
        <w:t>（二）项目过程情况。</w:t>
      </w:r>
      <w:bookmarkEnd w:id="32"/>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项目过程整体得分 29 分。</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资金管理单位得分17分。实际到位资金与预算资金的比率，资金落实情况对项目实施的总体保障程度。项目预算资金按照计划执行。符合国家财经法规和财务管理制度以及有关专项资金管理办法的规定；资金的拨付有完整的审批程序和手续；符合项目预算批复或合同规定的用途；不存在截留、挤占、挪用、虚列支出等情况。</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组织实施单位得分12分。已制定或具有相应的财务和业务管理制度；财务和业务管理制度是否合法、合规、完整。遵守相关法律法规和相关管理规定；项目调整及支出调整手续是否完备；项目合同书、验收报告、技术鉴定等资料齐全并及时归档；项目实施的人员条件、场地设备、信息支撑等落实到位。</w:t>
      </w:r>
    </w:p>
    <w:p>
      <w:pPr>
        <w:spacing w:line="540" w:lineRule="exact"/>
        <w:ind w:firstLine="600" w:firstLineChars="200"/>
        <w:outlineLvl w:val="0"/>
        <w:rPr>
          <w:rFonts w:hint="eastAsia" w:ascii="仿宋" w:hAnsi="仿宋" w:eastAsia="仿宋" w:cs="仿宋"/>
          <w:lang w:eastAsia="zh-CN"/>
        </w:rPr>
      </w:pPr>
      <w:bookmarkStart w:id="33" w:name="_Toc4966_WPSOffice_Level2"/>
      <w:r>
        <w:rPr>
          <w:rFonts w:hint="eastAsia" w:ascii="仿宋" w:hAnsi="仿宋" w:eastAsia="仿宋" w:cs="仿宋"/>
        </w:rPr>
        <w:t>（三）项目产出情况。</w:t>
      </w:r>
      <w:bookmarkEnd w:id="33"/>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项目产出整体得分 19分。</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产出数量6分。项目实施的实际产出数与计划产出数的比率相符。产出质量3分。质量达标产出数一定时期（本年度或项目期）内实际达到既定质量标准的产品或服务数量。产出时效4分。实际完成时间、计划完成时间反映和考核项目产出时效目标的实现程度。产出成本6分。完成项目计划工作目标的实际节约成本与计划成本的比率，考核项目的成本节约程度。</w:t>
      </w:r>
    </w:p>
    <w:p>
      <w:pPr>
        <w:spacing w:line="540" w:lineRule="exact"/>
        <w:ind w:firstLine="600" w:firstLineChars="200"/>
        <w:outlineLvl w:val="0"/>
        <w:rPr>
          <w:rFonts w:hint="eastAsia" w:ascii="仿宋" w:hAnsi="仿宋" w:eastAsia="仿宋" w:cs="仿宋"/>
        </w:rPr>
      </w:pPr>
      <w:bookmarkStart w:id="34" w:name="_Toc5258_WPSOffice_Level2"/>
      <w:r>
        <w:rPr>
          <w:rFonts w:hint="eastAsia" w:ascii="仿宋" w:hAnsi="仿宋" w:eastAsia="仿宋" w:cs="仿宋"/>
        </w:rPr>
        <w:t>（四）项目效益情况。</w:t>
      </w:r>
      <w:bookmarkEnd w:id="34"/>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项目效益整体得分3分。</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其中：项目效益3分。项目实施所产生的社会效益、经济效益、生态效益、可持续影响等。项目实际情况有选择地设置和细化。社会公众或服务对象对项目实施效果的满意。</w:t>
      </w:r>
    </w:p>
    <w:p>
      <w:pPr>
        <w:spacing w:line="540" w:lineRule="exact"/>
        <w:ind w:firstLine="602" w:firstLineChars="200"/>
        <w:rPr>
          <w:rFonts w:hint="eastAsia" w:ascii="仿宋" w:hAnsi="仿宋" w:eastAsia="仿宋" w:cs="仿宋"/>
          <w:b/>
          <w:bCs/>
        </w:rPr>
      </w:pPr>
      <w:bookmarkStart w:id="35" w:name="_Toc7777_WPSOffice_Level1"/>
      <w:r>
        <w:rPr>
          <w:rFonts w:hint="eastAsia" w:ascii="仿宋" w:hAnsi="仿宋" w:eastAsia="仿宋" w:cs="仿宋"/>
          <w:b/>
          <w:bCs/>
          <w:lang w:eastAsia="zh-CN"/>
        </w:rPr>
        <w:t>五</w:t>
      </w:r>
      <w:r>
        <w:rPr>
          <w:rFonts w:hint="eastAsia" w:ascii="仿宋" w:hAnsi="仿宋" w:eastAsia="仿宋" w:cs="仿宋"/>
          <w:b/>
          <w:bCs/>
        </w:rPr>
        <w:t>、绩效评价结果</w:t>
      </w:r>
      <w:bookmarkEnd w:id="35"/>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我单位经过认真的绩效评价，实行评分制，评价结果为94分。优秀（≥90分）。</w:t>
      </w:r>
    </w:p>
    <w:p>
      <w:pPr>
        <w:spacing w:line="540" w:lineRule="exact"/>
        <w:ind w:firstLine="602" w:firstLineChars="200"/>
        <w:rPr>
          <w:rFonts w:hint="eastAsia" w:ascii="仿宋" w:hAnsi="仿宋" w:eastAsia="仿宋" w:cs="仿宋"/>
          <w:b/>
          <w:bCs/>
        </w:rPr>
      </w:pPr>
      <w:bookmarkStart w:id="36" w:name="_Toc24196_WPSOffice_Level1"/>
      <w:r>
        <w:rPr>
          <w:rFonts w:hint="eastAsia" w:ascii="仿宋" w:hAnsi="仿宋" w:eastAsia="仿宋" w:cs="仿宋"/>
          <w:b/>
          <w:bCs/>
          <w:lang w:eastAsia="zh-CN"/>
        </w:rPr>
        <w:t>六</w:t>
      </w:r>
      <w:r>
        <w:rPr>
          <w:rFonts w:hint="eastAsia" w:ascii="仿宋" w:hAnsi="仿宋" w:eastAsia="仿宋" w:cs="仿宋"/>
          <w:b/>
          <w:bCs/>
        </w:rPr>
        <w:t>、存在的问题及原因分析</w:t>
      </w:r>
      <w:bookmarkEnd w:id="36"/>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绩效重点评价决策项目过程中，立项程序规范性，事前对经过必要的可行性研究、专家论证、风险评估、绩效评估、集体决策中可行性研究、专家论证采取的方式简单，思路单一。近期暂无立项项目，关注度不够。</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在项目过程中，资金管理预算执行率较</w:t>
      </w:r>
      <w:r>
        <w:rPr>
          <w:rFonts w:hint="eastAsia" w:ascii="仿宋" w:hAnsi="仿宋" w:eastAsia="仿宋" w:cs="仿宋"/>
          <w:sz w:val="32"/>
          <w:szCs w:val="32"/>
          <w:lang w:val="en-US" w:eastAsia="zh-CN"/>
        </w:rPr>
        <w:t>慢</w:t>
      </w:r>
      <w:r>
        <w:rPr>
          <w:rFonts w:hint="eastAsia" w:ascii="仿宋" w:hAnsi="仿宋" w:eastAsia="仿宋" w:cs="仿宋"/>
          <w:sz w:val="32"/>
          <w:szCs w:val="32"/>
        </w:rPr>
        <w:t>，实际支出金额</w:t>
      </w:r>
      <w:r>
        <w:rPr>
          <w:rFonts w:hint="eastAsia" w:ascii="仿宋" w:hAnsi="仿宋" w:eastAsia="仿宋" w:cs="仿宋"/>
          <w:sz w:val="32"/>
          <w:szCs w:val="32"/>
          <w:lang w:val="en-US" w:eastAsia="zh-CN"/>
        </w:rPr>
        <w:t>不足</w:t>
      </w:r>
      <w:r>
        <w:rPr>
          <w:rFonts w:hint="eastAsia" w:ascii="仿宋" w:hAnsi="仿宋" w:eastAsia="仿宋" w:cs="仿宋"/>
          <w:sz w:val="32"/>
          <w:szCs w:val="32"/>
        </w:rPr>
        <w:t>。</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在项目产出过程中，产出质量项目实际完成时间与计划完成时间的有差距，质量达标产出数较低，应按照项目实施单位设立绩效目标时依据计划标准、行业标准、历史标准或其他标准。</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在项目效益上，实施效益不明显，项目实施所产生的社会效益、经济效益、生态效益、可持续影响等应选择地设置和细化。</w:t>
      </w:r>
    </w:p>
    <w:p>
      <w:pPr>
        <w:spacing w:line="600" w:lineRule="exact"/>
        <w:ind w:firstLine="301" w:firstLineChars="100"/>
        <w:rPr>
          <w:rFonts w:hint="eastAsia" w:ascii="仿宋" w:hAnsi="仿宋" w:eastAsia="仿宋" w:cs="仿宋"/>
          <w:b/>
          <w:bCs/>
        </w:rPr>
      </w:pPr>
      <w:bookmarkStart w:id="37" w:name="_Toc13523_WPSOffice_Level1"/>
      <w:r>
        <w:rPr>
          <w:rFonts w:hint="eastAsia" w:ascii="仿宋" w:hAnsi="仿宋" w:eastAsia="仿宋" w:cs="仿宋"/>
          <w:b/>
          <w:bCs/>
          <w:lang w:eastAsia="zh-CN"/>
        </w:rPr>
        <w:t>七</w:t>
      </w:r>
      <w:r>
        <w:rPr>
          <w:rFonts w:hint="eastAsia" w:ascii="仿宋" w:hAnsi="仿宋" w:eastAsia="仿宋" w:cs="仿宋"/>
          <w:b/>
          <w:bCs/>
        </w:rPr>
        <w:t>、有关建议</w:t>
      </w:r>
      <w:bookmarkEnd w:id="37"/>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1.加强项目绩效管理，提高预算绩效认识，加强学习。 密切配合，及时在事前制定明确、细化、量化且可考核的年度绩效目标，并依据年度目标组织开展项目工作，做到绩效目标可考量，从而提高预算绩效管理效果。</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2.预算申报要做到细化、量化，根据项目实施的具体工 作量，通过科学合理的测算人、财、物的消耗，确保申报预 算的科学性、准确性，同时预算申报要与项目绩效目标进行 结合，确保预算与产出目标匹配一致，最终保障项目的实施按计划执行，并能最终进行量化考核。</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3.加强绩效目标管理。首先，理清绩效目标管理的工作 流程；其次，要确定绩效目标与实际工作的联系，绩效目标的设定既要能与实际工作紧密联系，又要能清晰反映预算资金的预期产出和效果。绩效目标应当从数量、质量、成本、时效以及经济效益、社会效益、生态效益、可持续影响、满 意度等方面进行细化，尽量进行定量表述；第三，有意识收集相应指标历史数据、行业数据作为绩效目标考评的基础</w:t>
      </w:r>
      <w:r>
        <w:rPr>
          <w:rFonts w:hint="eastAsia" w:ascii="仿宋" w:hAnsi="仿宋" w:eastAsia="仿宋" w:cs="仿宋"/>
          <w:sz w:val="32"/>
          <w:szCs w:val="32"/>
          <w:lang w:eastAsia="zh-CN"/>
        </w:rPr>
        <w:t>。</w:t>
      </w:r>
    </w:p>
    <w:p>
      <w:pPr>
        <w:numPr>
          <w:ilvl w:val="0"/>
          <w:numId w:val="0"/>
        </w:numPr>
        <w:spacing w:line="600" w:lineRule="exact"/>
        <w:ind w:firstLine="301" w:firstLineChars="100"/>
        <w:rPr>
          <w:rFonts w:hint="default" w:ascii="仿宋" w:hAnsi="仿宋" w:eastAsia="仿宋" w:cs="仿宋"/>
          <w:b/>
          <w:bCs/>
          <w:lang w:val="en-US" w:eastAsia="zh-CN"/>
        </w:rPr>
      </w:pPr>
      <w:bookmarkStart w:id="38" w:name="_Toc7856_WPSOffice_Level1"/>
      <w:bookmarkStart w:id="39" w:name="_GoBack"/>
      <w:bookmarkEnd w:id="39"/>
      <w:r>
        <w:rPr>
          <w:rFonts w:hint="eastAsia" w:ascii="仿宋" w:hAnsi="仿宋" w:eastAsia="仿宋" w:cs="仿宋"/>
          <w:b/>
          <w:bCs/>
          <w:lang w:val="en-US" w:eastAsia="zh-CN"/>
        </w:rPr>
        <w:t>八、</w:t>
      </w:r>
      <w:r>
        <w:rPr>
          <w:rFonts w:hint="eastAsia" w:ascii="仿宋" w:hAnsi="仿宋" w:eastAsia="仿宋" w:cs="仿宋"/>
          <w:b/>
          <w:bCs/>
        </w:rPr>
        <w:t>其他需要说明的问题</w:t>
      </w:r>
      <w:bookmarkEnd w:id="38"/>
      <w:r>
        <w:rPr>
          <w:rFonts w:hint="eastAsia" w:ascii="仿宋" w:hAnsi="仿宋" w:eastAsia="仿宋" w:cs="仿宋"/>
          <w:b/>
          <w:bCs/>
          <w:lang w:eastAsia="zh-CN"/>
        </w:rPr>
        <w:t>：</w:t>
      </w:r>
      <w:r>
        <w:rPr>
          <w:rFonts w:hint="eastAsia" w:ascii="仿宋" w:hAnsi="仿宋" w:eastAsia="仿宋" w:cs="仿宋"/>
          <w:b/>
          <w:bCs/>
          <w:lang w:val="en-US" w:eastAsia="zh-CN"/>
        </w:rPr>
        <w:t>无</w:t>
      </w:r>
    </w:p>
    <w:p>
      <w:pPr>
        <w:bidi w:val="0"/>
        <w:rPr>
          <w:rFonts w:hint="eastAsia" w:ascii="Times New Roman" w:hAnsi="Times New Roman" w:eastAsia="仿宋_GB2312" w:cs="Times New Roman"/>
          <w:kern w:val="2"/>
          <w:sz w:val="30"/>
          <w:szCs w:val="24"/>
          <w:lang w:val="en-US" w:eastAsia="zh-CN" w:bidi="ar-SA"/>
        </w:rPr>
      </w:pPr>
    </w:p>
    <w:p>
      <w:pPr>
        <w:tabs>
          <w:tab w:val="left" w:pos="638"/>
        </w:tabs>
        <w:bidi w:val="0"/>
        <w:jc w:val="left"/>
        <w:rPr>
          <w:rFonts w:hint="default"/>
          <w:lang w:val="en-US" w:eastAsia="zh-CN"/>
        </w:rPr>
      </w:pPr>
      <w:r>
        <w:rPr>
          <w:rFonts w:hint="eastAsia"/>
          <w:lang w:val="en-US" w:eastAsia="zh-CN"/>
        </w:rPr>
        <w:tab/>
      </w: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327E4F"/>
    <w:multiLevelType w:val="singleLevel"/>
    <w:tmpl w:val="0A327E4F"/>
    <w:lvl w:ilvl="0" w:tentative="0">
      <w:start w:val="1"/>
      <w:numFmt w:val="chineseCounting"/>
      <w:suff w:val="nothing"/>
      <w:lvlText w:val="%1、"/>
      <w:lvlJc w:val="left"/>
      <w:rPr>
        <w:rFonts w:hint="eastAsia"/>
      </w:rPr>
    </w:lvl>
  </w:abstractNum>
  <w:abstractNum w:abstractNumId="1">
    <w:nsid w:val="65F42854"/>
    <w:multiLevelType w:val="singleLevel"/>
    <w:tmpl w:val="65F42854"/>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12F"/>
    <w:rsid w:val="00010511"/>
    <w:rsid w:val="000D7DED"/>
    <w:rsid w:val="000F312F"/>
    <w:rsid w:val="00112DDA"/>
    <w:rsid w:val="00161653"/>
    <w:rsid w:val="001C0268"/>
    <w:rsid w:val="002A65A3"/>
    <w:rsid w:val="0042483D"/>
    <w:rsid w:val="00463414"/>
    <w:rsid w:val="00523D41"/>
    <w:rsid w:val="005A16AA"/>
    <w:rsid w:val="005A7D2A"/>
    <w:rsid w:val="005E3978"/>
    <w:rsid w:val="006363B2"/>
    <w:rsid w:val="00653D98"/>
    <w:rsid w:val="00694771"/>
    <w:rsid w:val="006C17B1"/>
    <w:rsid w:val="00872C13"/>
    <w:rsid w:val="008E46CA"/>
    <w:rsid w:val="00993A1C"/>
    <w:rsid w:val="00995F8A"/>
    <w:rsid w:val="009A28DD"/>
    <w:rsid w:val="00B879C9"/>
    <w:rsid w:val="00BE4E06"/>
    <w:rsid w:val="00C33F6D"/>
    <w:rsid w:val="00C66C04"/>
    <w:rsid w:val="00CD295F"/>
    <w:rsid w:val="00E96AFF"/>
    <w:rsid w:val="00F462D5"/>
    <w:rsid w:val="00F51337"/>
    <w:rsid w:val="10344175"/>
    <w:rsid w:val="10950344"/>
    <w:rsid w:val="14C544DE"/>
    <w:rsid w:val="15155209"/>
    <w:rsid w:val="156E66F5"/>
    <w:rsid w:val="17EC54DB"/>
    <w:rsid w:val="18316FEC"/>
    <w:rsid w:val="1CD83AD4"/>
    <w:rsid w:val="25B217C8"/>
    <w:rsid w:val="28E31734"/>
    <w:rsid w:val="2E722C7C"/>
    <w:rsid w:val="2EBC5DD8"/>
    <w:rsid w:val="2F7D571C"/>
    <w:rsid w:val="38555DD7"/>
    <w:rsid w:val="3E606C0D"/>
    <w:rsid w:val="3FC64A7F"/>
    <w:rsid w:val="458E3FCB"/>
    <w:rsid w:val="4C513BE2"/>
    <w:rsid w:val="500752BA"/>
    <w:rsid w:val="5A392CCC"/>
    <w:rsid w:val="6A7F14C0"/>
    <w:rsid w:val="709832AF"/>
    <w:rsid w:val="7A615F8B"/>
    <w:rsid w:val="7B136824"/>
    <w:rsid w:val="7D8B382E"/>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qFormat/>
    <w:locked/>
    <w:uiPriority w:val="99"/>
    <w:rPr>
      <w:rFonts w:ascii="Times New Roman" w:hAnsi="Times New Roman" w:eastAsia="仿宋_GB2312" w:cs="Times New Roman"/>
      <w:sz w:val="18"/>
      <w:szCs w:val="18"/>
    </w:rPr>
  </w:style>
  <w:style w:type="character" w:customStyle="1" w:styleId="7">
    <w:name w:val="Footer Char"/>
    <w:basedOn w:val="5"/>
    <w:link w:val="2"/>
    <w:qFormat/>
    <w:locked/>
    <w:uiPriority w:val="99"/>
    <w:rPr>
      <w:rFonts w:ascii="Times New Roman" w:hAnsi="Times New Roman" w:eastAsia="仿宋_GB2312" w:cs="Times New Roman"/>
      <w:sz w:val="18"/>
      <w:szCs w:val="18"/>
    </w:rPr>
  </w:style>
  <w:style w:type="paragraph" w:customStyle="1" w:styleId="8">
    <w:name w:val="Default"/>
    <w:qFormat/>
    <w:uiPriority w:val="99"/>
    <w:pPr>
      <w:widowControl w:val="0"/>
      <w:autoSpaceDE w:val="0"/>
      <w:autoSpaceDN w:val="0"/>
      <w:adjustRightInd w:val="0"/>
    </w:pPr>
    <w:rPr>
      <w:rFonts w:ascii="仿宋" w:hAnsi="Calibri" w:eastAsia="仿宋" w:cs="仿宋"/>
      <w:color w:val="000000"/>
      <w:kern w:val="0"/>
      <w:sz w:val="24"/>
      <w:szCs w:val="24"/>
      <w:lang w:val="en-US" w:eastAsia="zh-CN" w:bidi="ar-SA"/>
    </w:rPr>
  </w:style>
  <w:style w:type="paragraph" w:customStyle="1" w:styleId="9">
    <w:name w:val="标题 #1"/>
    <w:basedOn w:val="1"/>
    <w:qFormat/>
    <w:uiPriority w:val="0"/>
    <w:pPr>
      <w:widowControl w:val="0"/>
      <w:shd w:val="clear" w:color="auto" w:fill="auto"/>
      <w:spacing w:after="4240" w:line="658" w:lineRule="exact"/>
      <w:jc w:val="center"/>
      <w:outlineLvl w:val="0"/>
    </w:pPr>
    <w:rPr>
      <w:rFonts w:ascii="宋体" w:hAnsi="宋体" w:eastAsia="宋体" w:cs="宋体"/>
      <w:sz w:val="44"/>
      <w:szCs w:val="44"/>
      <w:u w:val="none"/>
      <w:shd w:val="clear" w:color="auto" w:fill="auto"/>
    </w:rPr>
  </w:style>
  <w:style w:type="paragraph" w:customStyle="1" w:styleId="10">
    <w:name w:val="正文文本1"/>
    <w:basedOn w:val="1"/>
    <w:qFormat/>
    <w:uiPriority w:val="0"/>
    <w:pPr>
      <w:widowControl w:val="0"/>
      <w:shd w:val="clear" w:color="auto" w:fill="auto"/>
      <w:spacing w:line="434" w:lineRule="auto"/>
      <w:ind w:firstLine="400"/>
    </w:pPr>
    <w:rPr>
      <w:rFonts w:ascii="宋体" w:hAnsi="宋体" w:eastAsia="宋体" w:cs="宋体"/>
      <w:sz w:val="30"/>
      <w:szCs w:val="30"/>
      <w:u w:val="none"/>
      <w:shd w:val="clear" w:color="auto" w:fill="auto"/>
    </w:rPr>
  </w:style>
  <w:style w:type="paragraph" w:customStyle="1" w:styleId="11">
    <w:name w:val="WPSOffice手动目录 1"/>
    <w:qFormat/>
    <w:uiPriority w:val="0"/>
    <w:pPr>
      <w:ind w:leftChars="0"/>
    </w:pPr>
    <w:rPr>
      <w:rFonts w:ascii="Calibri" w:hAnsi="Calibri" w:eastAsia="宋体" w:cs="Times New Roman"/>
      <w:sz w:val="20"/>
      <w:szCs w:val="20"/>
    </w:rPr>
  </w:style>
  <w:style w:type="paragraph" w:customStyle="1" w:styleId="12">
    <w:name w:val="WPSOffice手动目录 2"/>
    <w:qFormat/>
    <w:uiPriority w:val="0"/>
    <w:pPr>
      <w:ind w:leftChars="200"/>
    </w:pPr>
    <w:rPr>
      <w:rFonts w:ascii="Calibri" w:hAnsi="Calibri" w:eastAsia="宋体" w:cs="Times New Roman"/>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Microsoft</Company>
  <Pages>4</Pages>
  <Words>257</Words>
  <Characters>1470</Characters>
  <Lines>0</Lines>
  <Paragraphs>0</Paragraphs>
  <TotalTime>38</TotalTime>
  <ScaleCrop>false</ScaleCrop>
  <LinksUpToDate>false</LinksUpToDate>
  <CharactersWithSpaces>0</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2021-08-31T08:30:00Z</dcterms:created>
  <dc:creator>Microsoft</dc:creator>
  <cp:lastModifiedBy>Tzz</cp:lastModifiedBy>
  <cp:lastPrinted>2022-07-25T07:03:00Z</cp:lastPrinted>
  <dcterms:modified xsi:type="dcterms:W3CDTF">2024-04-28T01:53:04Z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3B270BD0B5794AEAA1D5AEAAD643B73C</vt:lpwstr>
  </property>
</Properties>
</file>