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文物管理所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重点文物单位维护保养</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keepNext w:val="0"/>
        <w:keepLines w:val="0"/>
        <w:widowControl/>
        <w:suppressLineNumbers w:val="0"/>
        <w:ind w:firstLine="640" w:firstLineChars="200"/>
        <w:jc w:val="left"/>
        <w:rPr>
          <w:rFonts w:hint="eastAsia" w:hAnsi="MS Gothic" w:eastAsia="方正仿宋_GBK" w:cs="MS Gothic"/>
          <w:sz w:val="28"/>
        </w:rPr>
      </w:pPr>
      <w:r>
        <w:rPr>
          <w:rFonts w:hint="eastAsia" w:ascii="仿宋_GB2312" w:eastAsia="仿宋_GB2312"/>
          <w:sz w:val="32"/>
          <w:szCs w:val="32"/>
          <w:lang w:eastAsia="zh-CN"/>
        </w:rPr>
        <w:t>项目背景：</w:t>
      </w:r>
      <w:r>
        <w:rPr>
          <w:rFonts w:hint="eastAsia" w:ascii="仿宋" w:hAnsi="仿宋" w:eastAsia="仿宋" w:cs="仿宋"/>
          <w:color w:val="000000"/>
          <w:kern w:val="0"/>
          <w:sz w:val="32"/>
          <w:szCs w:val="32"/>
          <w:lang w:val="en-US" w:eastAsia="zh-CN" w:bidi="ar"/>
        </w:rPr>
        <w:t>按照</w:t>
      </w:r>
      <w:r>
        <w:rPr>
          <w:rFonts w:hint="eastAsia" w:ascii="仿宋" w:hAnsi="仿宋" w:eastAsia="仿宋" w:cs="仿宋"/>
          <w:b w:val="0"/>
          <w:bCs w:val="0"/>
          <w:sz w:val="32"/>
          <w:szCs w:val="32"/>
          <w:lang w:eastAsia="zh-CN"/>
        </w:rPr>
        <w:t>按照</w:t>
      </w:r>
      <w:r>
        <w:rPr>
          <w:rFonts w:hint="eastAsia" w:ascii="仿宋" w:hAnsi="仿宋" w:eastAsia="仿宋" w:cs="仿宋"/>
          <w:b w:val="0"/>
          <w:bCs w:val="0"/>
          <w:sz w:val="32"/>
          <w:szCs w:val="32"/>
          <w:lang w:val="en-US" w:eastAsia="zh-CN"/>
        </w:rPr>
        <w:t>《中华人民共和国文物保护法</w:t>
      </w:r>
      <w:r>
        <w:rPr>
          <w:rFonts w:hint="eastAsia" w:ascii="仿宋" w:hAnsi="仿宋" w:eastAsia="仿宋" w:cs="仿宋"/>
          <w:color w:val="000000"/>
          <w:sz w:val="32"/>
          <w:szCs w:val="32"/>
        </w:rPr>
        <w:t>实施条例</w:t>
      </w:r>
      <w:r>
        <w:rPr>
          <w:rFonts w:hint="eastAsia" w:ascii="仿宋" w:hAnsi="仿宋" w:eastAsia="仿宋" w:cs="仿宋"/>
          <w:b w:val="0"/>
          <w:bCs w:val="0"/>
          <w:sz w:val="32"/>
          <w:szCs w:val="32"/>
          <w:lang w:val="en-US" w:eastAsia="zh-CN"/>
        </w:rPr>
        <w:t>》、《</w:t>
      </w:r>
      <w:r>
        <w:rPr>
          <w:rFonts w:hint="eastAsia" w:ascii="仿宋" w:hAnsi="仿宋" w:eastAsia="仿宋" w:cs="仿宋"/>
          <w:kern w:val="0"/>
          <w:sz w:val="32"/>
          <w:szCs w:val="32"/>
        </w:rPr>
        <w:t>河北省文物保护管理条例</w:t>
      </w:r>
      <w:r>
        <w:rPr>
          <w:rFonts w:hint="eastAsia" w:ascii="仿宋" w:hAnsi="仿宋" w:eastAsia="仿宋" w:cs="仿宋"/>
          <w:kern w:val="0"/>
          <w:sz w:val="32"/>
          <w:szCs w:val="32"/>
          <w:lang w:eastAsia="zh-CN"/>
        </w:rPr>
        <w:t>》</w:t>
      </w:r>
      <w:r>
        <w:rPr>
          <w:rFonts w:hint="eastAsia" w:ascii="仿宋" w:hAnsi="仿宋" w:eastAsia="仿宋" w:cs="仿宋"/>
          <w:color w:val="000000"/>
          <w:kern w:val="0"/>
          <w:sz w:val="32"/>
          <w:szCs w:val="32"/>
          <w:lang w:val="en-US" w:eastAsia="zh-CN" w:bidi="ar"/>
        </w:rPr>
        <w:t>的有关规定，我们周密设定重点文物保养维护范围，将重点文物单位维护保养项目纳入2023年文物保护专题项目，进行事前绩效评估。</w:t>
      </w:r>
    </w:p>
    <w:p>
      <w:pPr>
        <w:spacing w:line="5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资金投入和使用情况：2023年重点文物单位维护保养项目预算资金2万元，到年底全部按计划支出。</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_GB2312" w:eastAsia="仿宋_GB2312"/>
          <w:sz w:val="32"/>
          <w:szCs w:val="32"/>
          <w:lang w:val="en-US" w:eastAsia="zh-CN"/>
        </w:rPr>
        <w:t>项目的总体绩效目标是：</w:t>
      </w:r>
      <w:r>
        <w:rPr>
          <w:rFonts w:hint="eastAsia" w:ascii="仿宋" w:hAnsi="仿宋" w:eastAsia="仿宋" w:cs="仿宋"/>
          <w:sz w:val="32"/>
          <w:szCs w:val="32"/>
          <w:lang w:eastAsia="zh-CN"/>
        </w:rPr>
        <w:t>统筹安排</w:t>
      </w:r>
      <w:r>
        <w:rPr>
          <w:rFonts w:hint="eastAsia" w:ascii="仿宋" w:hAnsi="仿宋" w:eastAsia="仿宋" w:cs="仿宋"/>
          <w:sz w:val="32"/>
          <w:szCs w:val="32"/>
          <w:lang w:val="en-US" w:eastAsia="zh-CN"/>
        </w:rPr>
        <w:t>7处重点文物保护单位的维修工作、看护任务；重点部位重点人员看护值班，合理安排</w:t>
      </w:r>
      <w:r>
        <w:rPr>
          <w:rFonts w:hint="eastAsia" w:ascii="仿宋" w:hAnsi="仿宋" w:eastAsia="仿宋" w:cs="仿宋"/>
          <w:sz w:val="32"/>
          <w:szCs w:val="32"/>
          <w:lang w:eastAsia="zh-CN"/>
        </w:rPr>
        <w:t>。</w:t>
      </w:r>
    </w:p>
    <w:p>
      <w:pPr>
        <w:spacing w:line="500" w:lineRule="exact"/>
        <w:ind w:firstLine="640" w:firstLineChars="200"/>
        <w:jc w:val="left"/>
        <w:rPr>
          <w:rFonts w:hint="eastAsia" w:ascii="仿宋_GB2312" w:eastAsia="仿宋_GB2312"/>
          <w:sz w:val="32"/>
          <w:szCs w:val="32"/>
          <w:lang w:val="en-US" w:eastAsia="zh-CN"/>
        </w:rPr>
      </w:pPr>
    </w:p>
    <w:p>
      <w:pPr>
        <w:adjustRightInd w:val="0"/>
        <w:snapToGrid w:val="0"/>
        <w:spacing w:line="600" w:lineRule="exact"/>
        <w:ind w:firstLine="640" w:firstLineChars="200"/>
        <w:rPr>
          <w:rFonts w:hint="default" w:ascii="仿宋" w:hAnsi="仿宋" w:eastAsia="仿宋" w:cs="仿宋"/>
          <w:sz w:val="32"/>
          <w:szCs w:val="32"/>
          <w:lang w:val="en-US" w:eastAsia="zh-CN"/>
        </w:rPr>
      </w:pPr>
      <w:r>
        <w:rPr>
          <w:rFonts w:hint="eastAsia" w:ascii="仿宋_GB2312" w:eastAsia="仿宋_GB2312"/>
          <w:sz w:val="32"/>
          <w:szCs w:val="32"/>
          <w:lang w:val="en-US" w:eastAsia="zh-CN"/>
        </w:rPr>
        <w:t>阶段性目标：资金累计支出进度12月底达到100%。</w:t>
      </w:r>
      <w:r>
        <w:rPr>
          <w:rFonts w:hint="eastAsia" w:ascii="仿宋" w:hAnsi="仿宋" w:eastAsia="仿宋" w:cs="仿宋"/>
          <w:color w:val="auto"/>
          <w:sz w:val="32"/>
          <w:szCs w:val="32"/>
        </w:rPr>
        <w:t>产出指标</w:t>
      </w:r>
      <w:r>
        <w:rPr>
          <w:rFonts w:hint="eastAsia" w:ascii="仿宋" w:hAnsi="仿宋" w:eastAsia="仿宋" w:cs="仿宋"/>
          <w:sz w:val="32"/>
          <w:szCs w:val="32"/>
        </w:rPr>
        <w:t>：数量指标</w:t>
      </w:r>
      <w:r>
        <w:rPr>
          <w:rFonts w:hint="eastAsia" w:ascii="仿宋" w:hAnsi="仿宋" w:eastAsia="仿宋" w:cs="仿宋"/>
          <w:sz w:val="32"/>
          <w:szCs w:val="32"/>
          <w:lang w:eastAsia="zh-CN"/>
        </w:rPr>
        <w:t>：看护全县</w:t>
      </w:r>
      <w:r>
        <w:rPr>
          <w:rFonts w:hint="eastAsia" w:ascii="仿宋" w:hAnsi="仿宋" w:eastAsia="仿宋" w:cs="仿宋"/>
          <w:sz w:val="32"/>
          <w:szCs w:val="32"/>
          <w:lang w:val="en-US" w:eastAsia="zh-CN"/>
        </w:rPr>
        <w:t>7处重点文物保护单位及重点区域</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 xml:space="preserve">          质量指标</w:t>
      </w:r>
      <w:r>
        <w:rPr>
          <w:rFonts w:hint="eastAsia" w:ascii="仿宋" w:hAnsi="仿宋" w:eastAsia="仿宋" w:cs="仿宋"/>
          <w:sz w:val="32"/>
          <w:szCs w:val="32"/>
          <w:lang w:eastAsia="zh-CN"/>
        </w:rPr>
        <w:t>：及时维修，不出现扩大范围</w:t>
      </w:r>
    </w:p>
    <w:p>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时效指标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2023年全年</w:t>
      </w:r>
    </w:p>
    <w:p>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 xml:space="preserve">          成本指标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5万元</w:t>
      </w:r>
    </w:p>
    <w:p>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效益指标：经济效益指标</w:t>
      </w:r>
      <w:r>
        <w:rPr>
          <w:rFonts w:hint="eastAsia" w:ascii="仿宋" w:hAnsi="仿宋" w:eastAsia="仿宋" w:cs="仿宋"/>
          <w:sz w:val="32"/>
          <w:szCs w:val="32"/>
          <w:lang w:eastAsia="zh-CN"/>
        </w:rPr>
        <w:t>：全县</w:t>
      </w:r>
      <w:r>
        <w:rPr>
          <w:rFonts w:hint="eastAsia" w:ascii="仿宋" w:hAnsi="仿宋" w:eastAsia="仿宋" w:cs="仿宋"/>
          <w:sz w:val="32"/>
          <w:szCs w:val="32"/>
          <w:lang w:val="en-US" w:eastAsia="zh-CN"/>
        </w:rPr>
        <w:t>7处重点文物保护单位维护保养,80余处文物点安全防护每年</w:t>
      </w:r>
      <w:r>
        <w:rPr>
          <w:rFonts w:hint="eastAsia" w:ascii="仿宋" w:hAnsi="仿宋" w:eastAsia="仿宋" w:cs="仿宋"/>
          <w:sz w:val="32"/>
          <w:szCs w:val="32"/>
          <w:lang w:eastAsia="zh-CN"/>
        </w:rPr>
        <w:t>用</w:t>
      </w:r>
      <w:r>
        <w:rPr>
          <w:rFonts w:hint="eastAsia" w:ascii="仿宋" w:hAnsi="仿宋" w:eastAsia="仿宋" w:cs="仿宋"/>
          <w:sz w:val="32"/>
          <w:szCs w:val="32"/>
          <w:lang w:val="en-US" w:eastAsia="zh-CN"/>
        </w:rPr>
        <w:t>5万元，节省了很大笔资金。</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 xml:space="preserve">          社会效益指标</w:t>
      </w:r>
      <w:r>
        <w:rPr>
          <w:rFonts w:hint="eastAsia" w:ascii="仿宋" w:hAnsi="仿宋" w:eastAsia="仿宋" w:cs="仿宋"/>
          <w:sz w:val="32"/>
          <w:szCs w:val="32"/>
          <w:lang w:eastAsia="zh-CN"/>
        </w:rPr>
        <w:t>：保护文化遗产，传承中华文明</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 xml:space="preserve">          生态效益指标</w:t>
      </w:r>
      <w:r>
        <w:rPr>
          <w:rFonts w:hint="eastAsia" w:ascii="仿宋" w:hAnsi="仿宋" w:eastAsia="仿宋" w:cs="仿宋"/>
          <w:sz w:val="32"/>
          <w:szCs w:val="32"/>
          <w:lang w:eastAsia="zh-CN"/>
        </w:rPr>
        <w:t>：文物传承有序</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 xml:space="preserve">          可持续性指标</w:t>
      </w:r>
      <w:r>
        <w:rPr>
          <w:rFonts w:hint="eastAsia" w:ascii="仿宋" w:hAnsi="仿宋" w:eastAsia="仿宋" w:cs="仿宋"/>
          <w:sz w:val="32"/>
          <w:szCs w:val="32"/>
          <w:lang w:eastAsia="zh-CN"/>
        </w:rPr>
        <w:t>：保护文物功在当代，利在千秋。</w:t>
      </w:r>
    </w:p>
    <w:p>
      <w:pPr>
        <w:adjustRightInd w:val="0"/>
        <w:snapToGrid w:val="0"/>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满意对指标：</w:t>
      </w:r>
      <w:r>
        <w:rPr>
          <w:rFonts w:hint="eastAsia" w:ascii="仿宋" w:hAnsi="仿宋" w:eastAsia="仿宋" w:cs="仿宋"/>
          <w:sz w:val="32"/>
          <w:szCs w:val="32"/>
          <w:lang w:eastAsia="zh-CN"/>
        </w:rPr>
        <w:t>全县百姓对文物保护工作满意度，争取满意度</w:t>
      </w:r>
      <w:r>
        <w:rPr>
          <w:rFonts w:hint="eastAsia" w:ascii="仿宋" w:hAnsi="仿宋" w:eastAsia="仿宋" w:cs="仿宋"/>
          <w:sz w:val="32"/>
          <w:szCs w:val="32"/>
          <w:lang w:val="en-US" w:eastAsia="zh-CN"/>
        </w:rPr>
        <w:t>90%以上</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主要目标是江浩故居维护看护</w:t>
      </w:r>
      <w:bookmarkStart w:id="0" w:name="_GoBack"/>
      <w:bookmarkEnd w:id="0"/>
      <w:r>
        <w:rPr>
          <w:rFonts w:hint="eastAsia" w:ascii="仿宋_GB2312" w:eastAsia="仿宋_GB2312"/>
          <w:sz w:val="32"/>
          <w:szCs w:val="32"/>
          <w:lang w:val="en-US" w:eastAsia="zh-CN"/>
        </w:rPr>
        <w:t>费用。以此来提升故居接待水平，满足爱国主义教育基地游客安全保障，顺利通过2023年项目验收。</w:t>
      </w:r>
    </w:p>
    <w:p>
      <w:pPr>
        <w:numPr>
          <w:ilvl w:val="0"/>
          <w:numId w:val="0"/>
        </w:numPr>
        <w:spacing w:line="600" w:lineRule="exact"/>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见附绩效监控评价表</w:t>
      </w:r>
    </w:p>
    <w:p>
      <w:pPr>
        <w:spacing w:line="600" w:lineRule="exact"/>
        <w:ind w:firstLine="640" w:firstLineChars="200"/>
        <w:rPr>
          <w:rFonts w:ascii="仿宋_GB2312" w:eastAsia="仿宋_GB2312"/>
          <w:sz w:val="32"/>
          <w:szCs w:val="32"/>
        </w:rPr>
      </w:pPr>
    </w:p>
    <w:p>
      <w:pPr>
        <w:numPr>
          <w:ilvl w:val="0"/>
          <w:numId w:val="0"/>
        </w:num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按财政下发文件及绩效监控评价表，项目支出绩效自评表，江浩故居消防监控及看护费用</w:t>
      </w:r>
      <w:r>
        <w:rPr>
          <w:rFonts w:hint="eastAsia" w:ascii="仿宋_GB2312" w:eastAsia="仿宋_GB2312"/>
          <w:sz w:val="32"/>
          <w:szCs w:val="32"/>
          <w:lang w:val="en-US" w:eastAsia="zh-CN"/>
        </w:rPr>
        <w:t>项目</w:t>
      </w:r>
      <w:r>
        <w:rPr>
          <w:rFonts w:hint="eastAsia" w:ascii="仿宋_GB2312" w:eastAsia="仿宋_GB2312"/>
          <w:sz w:val="32"/>
          <w:szCs w:val="32"/>
          <w:lang w:eastAsia="zh-CN"/>
        </w:rPr>
        <w:t>评价结论得分</w:t>
      </w:r>
      <w:r>
        <w:rPr>
          <w:rFonts w:hint="eastAsia" w:ascii="仿宋_GB2312" w:eastAsia="仿宋_GB2312"/>
          <w:sz w:val="32"/>
          <w:szCs w:val="32"/>
          <w:lang w:val="en-US" w:eastAsia="zh-CN"/>
        </w:rPr>
        <w:t>100分，属于优秀.资金全部按计划支出。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根据上级领导对</w:t>
      </w:r>
      <w:r>
        <w:rPr>
          <w:rFonts w:hint="eastAsia" w:ascii="仿宋" w:hAnsi="仿宋" w:eastAsia="仿宋" w:cs="仿宋"/>
          <w:sz w:val="32"/>
          <w:szCs w:val="32"/>
          <w:lang w:val="en-US" w:eastAsia="zh-CN"/>
        </w:rPr>
        <w:t>河北省重点文物保护单位、净觉寺及唐山市爱国主义教育基地江浩故居消防安全防护保养决策项目。</w:t>
      </w:r>
    </w:p>
    <w:p>
      <w:pPr>
        <w:numPr>
          <w:ilvl w:val="0"/>
          <w:numId w:val="2"/>
        </w:num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项目过程情况。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对文物的保护是对历史、文化的保护，是对社会共同记忆和利益的保护，也是对优秀传统文化的传承。</w:t>
      </w:r>
      <w:r>
        <w:rPr>
          <w:rFonts w:hint="eastAsia" w:ascii="仿宋" w:hAnsi="仿宋" w:eastAsia="仿宋" w:cs="仿宋"/>
          <w:color w:val="000000"/>
          <w:sz w:val="32"/>
          <w:szCs w:val="32"/>
          <w:lang w:eastAsia="zh-CN"/>
        </w:rPr>
        <w:t>目前，净觉寺、江浩故居、古人种玉处、王氏宗祠等局部都有不同程度的损坏。</w:t>
      </w:r>
      <w:r>
        <w:rPr>
          <w:rFonts w:hint="eastAsia" w:ascii="仿宋" w:hAnsi="仿宋" w:eastAsia="仿宋" w:cs="仿宋"/>
          <w:color w:val="000000"/>
          <w:kern w:val="0"/>
          <w:sz w:val="32"/>
          <w:szCs w:val="32"/>
          <w:lang w:val="en-US" w:eastAsia="zh-CN" w:bidi="ar"/>
        </w:rPr>
        <w:t>按照《文物保护工程管理办法》文物的小型维护保养无法立项，争取不到上级资金，只能是地方政府负担，所以为实现文物的永续保护利用，最大化控制文物损害范围，用最少的钱使文物及时得到维护保养</w:t>
      </w:r>
      <w:r>
        <w:rPr>
          <w:rFonts w:hint="eastAsia" w:ascii="仿宋" w:hAnsi="仿宋" w:eastAsia="仿宋" w:cs="仿宋"/>
          <w:color w:val="000000"/>
          <w:sz w:val="32"/>
          <w:szCs w:val="32"/>
          <w:lang w:eastAsia="zh-CN"/>
        </w:rPr>
        <w:t>。为避免文物免受人为破坏，需要专兼职保护员看护；按照</w:t>
      </w:r>
      <w:r>
        <w:rPr>
          <w:rFonts w:hint="eastAsia" w:ascii="仿宋" w:hAnsi="仿宋" w:eastAsia="仿宋" w:cs="仿宋"/>
          <w:color w:val="000000"/>
          <w:kern w:val="0"/>
          <w:sz w:val="32"/>
          <w:szCs w:val="32"/>
          <w:lang w:val="en-US" w:eastAsia="zh-CN" w:bidi="ar"/>
        </w:rPr>
        <w:t>《消防控制室通用技术要求》，净觉寺</w:t>
      </w:r>
      <w:r>
        <w:rPr>
          <w:rFonts w:hint="eastAsia" w:ascii="仿宋" w:hAnsi="仿宋" w:eastAsia="仿宋" w:cs="仿宋"/>
          <w:color w:val="000000"/>
          <w:sz w:val="32"/>
          <w:szCs w:val="32"/>
          <w:lang w:eastAsia="zh-CN"/>
        </w:rPr>
        <w:t>消防控制室等重点部位还需要持证上岗。</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项目产出情况。</w:t>
      </w:r>
    </w:p>
    <w:p>
      <w:pPr>
        <w:adjustRightInd w:val="0"/>
        <w:snapToGrid w:val="0"/>
        <w:spacing w:line="600" w:lineRule="exact"/>
        <w:ind w:firstLine="1052" w:firstLineChars="329"/>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1.文物本体的小型维护保养不需要上级文物部门批准，按照最小干扰和可逆性原则就可以施工，我们资金到位就实施；</w:t>
      </w:r>
    </w:p>
    <w:p>
      <w:pPr>
        <w:adjustRightInd w:val="0"/>
        <w:snapToGrid w:val="0"/>
        <w:spacing w:line="600" w:lineRule="exact"/>
        <w:ind w:firstLine="1052" w:firstLineChars="329"/>
        <w:rPr>
          <w:rFonts w:hint="eastAsia" w:ascii="仿宋" w:hAnsi="仿宋" w:eastAsia="仿宋" w:cs="仿宋"/>
          <w:b w:val="0"/>
          <w:bCs w:val="0"/>
          <w:sz w:val="32"/>
          <w:szCs w:val="32"/>
          <w:lang w:val="en-US" w:eastAsia="zh-CN"/>
        </w:rPr>
      </w:pPr>
      <w:r>
        <w:rPr>
          <w:rFonts w:hint="eastAsia" w:ascii="仿宋" w:hAnsi="仿宋" w:eastAsia="仿宋" w:cs="仿宋"/>
          <w:color w:val="000000"/>
          <w:kern w:val="0"/>
          <w:sz w:val="32"/>
          <w:szCs w:val="32"/>
          <w:lang w:val="en-US" w:eastAsia="zh-CN" w:bidi="ar"/>
        </w:rPr>
        <w:t>2.</w:t>
      </w:r>
      <w:r>
        <w:rPr>
          <w:rFonts w:hint="eastAsia" w:ascii="仿宋" w:hAnsi="仿宋" w:eastAsia="仿宋" w:cs="仿宋"/>
          <w:b w:val="0"/>
          <w:bCs w:val="0"/>
          <w:sz w:val="32"/>
          <w:szCs w:val="32"/>
          <w:lang w:eastAsia="zh-CN"/>
        </w:rPr>
        <w:t>按照</w:t>
      </w:r>
      <w:r>
        <w:rPr>
          <w:rFonts w:hint="eastAsia" w:ascii="仿宋" w:hAnsi="仿宋" w:eastAsia="仿宋" w:cs="仿宋"/>
          <w:b w:val="0"/>
          <w:bCs w:val="0"/>
          <w:sz w:val="32"/>
          <w:szCs w:val="32"/>
          <w:lang w:val="en-US" w:eastAsia="zh-CN"/>
        </w:rPr>
        <w:t>《中华人民共和国文物保护法</w:t>
      </w:r>
      <w:r>
        <w:rPr>
          <w:rFonts w:hint="eastAsia" w:ascii="仿宋" w:hAnsi="仿宋" w:eastAsia="仿宋" w:cs="仿宋"/>
          <w:color w:val="000000"/>
          <w:sz w:val="32"/>
          <w:szCs w:val="32"/>
        </w:rPr>
        <w:t>实施条例</w:t>
      </w:r>
      <w:r>
        <w:rPr>
          <w:rFonts w:hint="eastAsia" w:ascii="仿宋" w:hAnsi="仿宋" w:eastAsia="仿宋" w:cs="仿宋"/>
          <w:b w:val="0"/>
          <w:bCs w:val="0"/>
          <w:sz w:val="32"/>
          <w:szCs w:val="32"/>
          <w:lang w:val="en-US" w:eastAsia="zh-CN"/>
        </w:rPr>
        <w:t>》、《</w:t>
      </w:r>
      <w:r>
        <w:rPr>
          <w:rFonts w:hint="eastAsia" w:ascii="仿宋" w:hAnsi="仿宋" w:eastAsia="仿宋" w:cs="仿宋"/>
          <w:kern w:val="0"/>
          <w:sz w:val="32"/>
          <w:szCs w:val="32"/>
        </w:rPr>
        <w:t>河北省文物保护管理条例</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已公布为文物保护单位的，当地人民政府应当设立相应的机构或配备专职、兼职人员，做好文物保护单位的保护管理工作。</w:t>
      </w:r>
      <w:r>
        <w:rPr>
          <w:rFonts w:hint="eastAsia" w:ascii="仿宋" w:hAnsi="仿宋" w:eastAsia="仿宋" w:cs="仿宋"/>
          <w:kern w:val="0"/>
          <w:sz w:val="32"/>
          <w:szCs w:val="32"/>
          <w:lang w:eastAsia="zh-CN"/>
        </w:rPr>
        <w:t>”要求，对我县除净觉寺外的</w:t>
      </w:r>
      <w:r>
        <w:rPr>
          <w:rFonts w:hint="eastAsia" w:ascii="仿宋" w:hAnsi="仿宋" w:eastAsia="仿宋" w:cs="仿宋"/>
          <w:kern w:val="0"/>
          <w:sz w:val="32"/>
          <w:szCs w:val="32"/>
          <w:lang w:val="en-US" w:eastAsia="zh-CN"/>
        </w:rPr>
        <w:t>6处</w:t>
      </w:r>
      <w:r>
        <w:rPr>
          <w:rFonts w:hint="eastAsia" w:ascii="仿宋" w:hAnsi="仿宋" w:eastAsia="仿宋" w:cs="仿宋"/>
          <w:kern w:val="0"/>
          <w:sz w:val="32"/>
          <w:szCs w:val="32"/>
          <w:lang w:eastAsia="zh-CN"/>
        </w:rPr>
        <w:t>重点文物保护单位及文物较多的乡镇聘用兼职保护员看护巡查</w:t>
      </w:r>
      <w:r>
        <w:rPr>
          <w:rFonts w:hint="eastAsia" w:ascii="仿宋" w:hAnsi="仿宋" w:eastAsia="仿宋" w:cs="仿宋"/>
          <w:b w:val="0"/>
          <w:bCs w:val="0"/>
          <w:sz w:val="32"/>
          <w:szCs w:val="32"/>
          <w:lang w:val="en-US" w:eastAsia="zh-CN"/>
        </w:rPr>
        <w:t>。</w:t>
      </w:r>
    </w:p>
    <w:p>
      <w:pPr>
        <w:adjustRightInd w:val="0"/>
        <w:snapToGrid w:val="0"/>
        <w:spacing w:line="600" w:lineRule="exact"/>
        <w:ind w:firstLine="1052" w:firstLineChars="329"/>
        <w:rPr>
          <w:rFonts w:hint="eastAsia" w:ascii="仿宋" w:hAnsi="仿宋" w:eastAsia="仿宋" w:cs="仿宋"/>
          <w:color w:val="000000"/>
          <w:kern w:val="0"/>
          <w:sz w:val="28"/>
          <w:szCs w:val="28"/>
          <w:lang w:val="en-US" w:eastAsia="zh-CN" w:bidi="ar"/>
        </w:rPr>
      </w:pPr>
      <w:r>
        <w:rPr>
          <w:rFonts w:hint="eastAsia" w:ascii="仿宋" w:hAnsi="仿宋" w:eastAsia="仿宋" w:cs="仿宋"/>
          <w:b w:val="0"/>
          <w:bCs w:val="0"/>
          <w:sz w:val="32"/>
          <w:szCs w:val="32"/>
          <w:lang w:val="en-US" w:eastAsia="zh-CN"/>
        </w:rPr>
        <w:t>3.</w:t>
      </w:r>
      <w:r>
        <w:rPr>
          <w:rFonts w:hint="eastAsia" w:ascii="仿宋" w:hAnsi="仿宋" w:eastAsia="仿宋" w:cs="仿宋"/>
          <w:sz w:val="28"/>
          <w:szCs w:val="28"/>
          <w:lang w:val="en-US" w:eastAsia="zh-CN"/>
        </w:rPr>
        <w:t>2021年7月份，从玉田县广电网络公司调入我所11名长聘工作人员，我们对其中5名进行培训，然后持证上岗，在净觉寺消防控制室值班</w:t>
      </w:r>
      <w:r>
        <w:rPr>
          <w:rFonts w:hint="eastAsia" w:ascii="仿宋" w:hAnsi="仿宋" w:eastAsia="仿宋" w:cs="仿宋"/>
          <w:color w:val="000000"/>
          <w:kern w:val="0"/>
          <w:sz w:val="28"/>
          <w:szCs w:val="28"/>
          <w:lang w:val="en-US" w:eastAsia="zh-CN" w:bidi="ar"/>
        </w:rPr>
        <w:t>。</w:t>
      </w:r>
    </w:p>
    <w:p>
      <w:pPr>
        <w:adjustRightInd w:val="0"/>
        <w:snapToGrid w:val="0"/>
        <w:spacing w:line="600" w:lineRule="exact"/>
        <w:ind w:firstLine="640" w:firstLineChars="200"/>
        <w:jc w:val="left"/>
        <w:rPr>
          <w:rFonts w:hint="eastAsia" w:ascii="仿宋" w:hAnsi="仿宋" w:eastAsia="仿宋" w:cs="仿宋"/>
          <w:color w:val="000000"/>
          <w:kern w:val="0"/>
          <w:sz w:val="32"/>
          <w:szCs w:val="32"/>
          <w:lang w:val="en-US" w:eastAsia="zh-CN" w:bidi="ar"/>
        </w:rPr>
      </w:pP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项目效益情况。</w:t>
      </w:r>
    </w:p>
    <w:p>
      <w:p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统筹安排</w:t>
      </w:r>
      <w:r>
        <w:rPr>
          <w:rFonts w:hint="eastAsia" w:ascii="仿宋" w:hAnsi="仿宋" w:eastAsia="仿宋" w:cs="仿宋"/>
          <w:sz w:val="32"/>
          <w:szCs w:val="32"/>
          <w:lang w:val="en-US" w:eastAsia="zh-CN"/>
        </w:rPr>
        <w:t>7处重点文物保护单位的维修工作、看护任务；重点部位重点人员看护值班，合理安排</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val="en-US" w:eastAsia="zh-CN"/>
        </w:rPr>
      </w:pPr>
    </w:p>
    <w:p>
      <w:pPr>
        <w:numPr>
          <w:ilvl w:val="0"/>
          <w:numId w:val="0"/>
        </w:numPr>
        <w:spacing w:line="600" w:lineRule="exact"/>
        <w:ind w:leftChars="200"/>
        <w:outlineLvl w:val="0"/>
        <w:rPr>
          <w:rFonts w:hint="eastAsia" w:ascii="仿宋_GB2312" w:eastAsia="仿宋_GB2312"/>
          <w:sz w:val="32"/>
          <w:szCs w:val="32"/>
          <w:lang w:eastAsia="zh-CN"/>
        </w:rPr>
      </w:pPr>
    </w:p>
    <w:p>
      <w:pPr>
        <w:numPr>
          <w:ilvl w:val="0"/>
          <w:numId w:val="3"/>
        </w:numPr>
        <w:spacing w:line="600" w:lineRule="exact"/>
        <w:ind w:firstLine="640" w:firstLineChars="200"/>
        <w:rPr>
          <w:rFonts w:hint="eastAsia" w:eastAsia="黑体"/>
          <w:sz w:val="32"/>
          <w:szCs w:val="32"/>
          <w:lang w:val="en-US" w:eastAsia="zh-CN"/>
        </w:rPr>
      </w:pPr>
      <w:r>
        <w:rPr>
          <w:rFonts w:hint="eastAsia" w:eastAsia="黑体"/>
          <w:sz w:val="32"/>
          <w:szCs w:val="32"/>
        </w:rPr>
        <w:t>主要经验及做法、存在的问题及原因分析</w:t>
      </w:r>
      <w:r>
        <w:rPr>
          <w:rFonts w:hint="eastAsia" w:eastAsia="黑体"/>
          <w:sz w:val="32"/>
          <w:szCs w:val="32"/>
          <w:lang w:val="en-US" w:eastAsia="zh-CN"/>
        </w:rPr>
        <w:t xml:space="preserve"> </w:t>
      </w:r>
    </w:p>
    <w:p>
      <w:pPr>
        <w:ind w:firstLine="960" w:firstLineChars="300"/>
      </w:pPr>
      <w:r>
        <w:rPr>
          <w:rFonts w:hint="eastAsia" w:ascii="仿宋" w:hAnsi="仿宋" w:eastAsia="仿宋" w:cs="仿宋"/>
          <w:b w:val="0"/>
          <w:bCs/>
          <w:sz w:val="32"/>
          <w:szCs w:val="32"/>
          <w:lang w:eastAsia="zh-CN"/>
        </w:rPr>
        <w:t>项目经费年底全部按计划支出，无存在问题。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方正仿宋_GBK">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18DCB4"/>
    <w:multiLevelType w:val="singleLevel"/>
    <w:tmpl w:val="AD18DCB4"/>
    <w:lvl w:ilvl="0" w:tentative="0">
      <w:start w:val="5"/>
      <w:numFmt w:val="chineseCounting"/>
      <w:suff w:val="nothing"/>
      <w:lvlText w:val="%1、"/>
      <w:lvlJc w:val="left"/>
      <w:rPr>
        <w:rFonts w:hint="eastAsia"/>
      </w:rPr>
    </w:lvl>
  </w:abstractNum>
  <w:abstractNum w:abstractNumId="1">
    <w:nsid w:val="C6BEA2B9"/>
    <w:multiLevelType w:val="singleLevel"/>
    <w:tmpl w:val="C6BEA2B9"/>
    <w:lvl w:ilvl="0" w:tentative="0">
      <w:start w:val="2"/>
      <w:numFmt w:val="chineseCounting"/>
      <w:suff w:val="nothing"/>
      <w:lvlText w:val="（%1）"/>
      <w:lvlJc w:val="left"/>
      <w:rPr>
        <w:rFonts w:hint="eastAsia"/>
      </w:rPr>
    </w:lvl>
  </w:abstractNum>
  <w:abstractNum w:abstractNumId="2">
    <w:nsid w:val="71FACDD6"/>
    <w:multiLevelType w:val="singleLevel"/>
    <w:tmpl w:val="71FACDD6"/>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0E94652"/>
    <w:rsid w:val="02670FC1"/>
    <w:rsid w:val="05707334"/>
    <w:rsid w:val="05CD2CB4"/>
    <w:rsid w:val="0FD13331"/>
    <w:rsid w:val="15226316"/>
    <w:rsid w:val="198D2702"/>
    <w:rsid w:val="20734BA4"/>
    <w:rsid w:val="34BA64AF"/>
    <w:rsid w:val="36153DA7"/>
    <w:rsid w:val="3B2C2746"/>
    <w:rsid w:val="43805ECA"/>
    <w:rsid w:val="4595474B"/>
    <w:rsid w:val="49D67DF9"/>
    <w:rsid w:val="4C5473A9"/>
    <w:rsid w:val="51D879E2"/>
    <w:rsid w:val="636C5D3D"/>
    <w:rsid w:val="63AF0C61"/>
    <w:rsid w:val="6918078B"/>
    <w:rsid w:val="7868778D"/>
    <w:rsid w:val="7B647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75" w:beforeAutospacing="0" w:after="75" w:afterAutospacing="0"/>
      <w:ind w:left="75" w:right="75"/>
      <w:jc w:val="left"/>
    </w:pPr>
    <w:rPr>
      <w:kern w:val="0"/>
      <w:sz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2024-04-22T01:33:37Z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