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玉田县文物管理所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0315-6163623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415.605768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369.976867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89.02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355玉田县文物管理所本级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316"/>
        <w:gridCol w:w="975"/>
        <w:gridCol w:w="1326"/>
        <w:gridCol w:w="978"/>
        <w:gridCol w:w="978"/>
        <w:gridCol w:w="978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人员经费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281.458967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用于工资支付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按时完成工资发放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日常公用经费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35.84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用于日常公用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按时完成各项公用经费的合理支出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99.8%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净觉寺3A景区提升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用于景区提升</w:t>
            </w:r>
          </w:p>
        </w:tc>
        <w:tc>
          <w:tcPr>
            <w:tcW w:w="624" w:type="pct"/>
            <w:vAlign w:val="center"/>
          </w:tcPr>
          <w:p>
            <w:pPr>
              <w:pStyle w:val="7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优化净觉寺景区环境，提升景区接待水平，满足游客日益增长的文化旅游需求，顺利通过2024年度复核。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净觉寺消防系统及电气检测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用于景区消防系统的检测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为2024年净觉寺消防安全系统正常运行，顺利通过消防部门验收，保证净觉寺文物古建消防安全。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净觉寺围墙修缮及保护工程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用于净觉寺围墙的修缮</w:t>
            </w:r>
          </w:p>
        </w:tc>
        <w:tc>
          <w:tcPr>
            <w:tcW w:w="624" w:type="pct"/>
            <w:vAlign w:val="center"/>
          </w:tcPr>
          <w:p>
            <w:pPr>
              <w:pStyle w:val="7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（1）针对倾斜变形严重的墙体采用补筑扶壁砖垛的方式进行加固；</w:t>
            </w:r>
          </w:p>
          <w:p>
            <w:pPr>
              <w:pStyle w:val="7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（2）按照规划设计要求，对围墙端部较大裂缝区域、不当补砌区域及后期不当整修区域采取原形制拆砌；</w:t>
            </w:r>
          </w:p>
          <w:p>
            <w:pPr>
              <w:pStyle w:val="7"/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（3）清理墙体表面污染，毛石下碱灌缝加固，并对其周边环境进行整治。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88%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重点文物保护单位维护保养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用于重点文保单位的维护保养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  <w:t>为2024年全县不可移动文物安全员全覆盖，全县文物义务保护组织形成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66.67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单位优部分项目资金支付进度滞后。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内控制度需要进一步完善，随着资金管理改革的进一步推进，我单位内部机构进行了相应优化，建立健全了财务管理制度，固定资金管理制度，费用报销规程等制度，但是仍然需要进一步强化财务约束监督体制。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963B2"/>
    <w:multiLevelType w:val="singleLevel"/>
    <w:tmpl w:val="5DC963B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2C90007"/>
    <w:rsid w:val="11DA29EC"/>
    <w:rsid w:val="18FD3CCE"/>
    <w:rsid w:val="19011699"/>
    <w:rsid w:val="39B8262A"/>
    <w:rsid w:val="70E0537A"/>
    <w:rsid w:val="75DB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职责分类绩效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2024-04-18T05:49:54Z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