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净觉寺围墙修缮保护工程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玉田县文物管理所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杨俊潮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0315-6163623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pStyle w:val="13"/>
        <w:ind w:firstLine="600" w:firstLineChars="200"/>
        <w:rPr>
          <w:rFonts w:hint="eastAsia" w:ascii="仿宋" w:hAnsi="仿宋" w:eastAsia="仿宋" w:cs="仿宋"/>
          <w:b/>
          <w:bCs/>
          <w:lang w:eastAsia="zh-CN"/>
        </w:rPr>
      </w:pPr>
      <w:bookmarkStart w:id="21" w:name="_Toc31309_WPSOffice_Level1"/>
      <w:r>
        <w:rPr>
          <w:rFonts w:ascii="仿宋" w:hAnsi="仿宋" w:eastAsia="仿宋"/>
          <w:sz w:val="30"/>
          <w:lang w:eastAsia="zh-CN"/>
        </w:rPr>
        <w:t>收藏展览文物，弘扬民族文化，文物（征集、鉴定、修复、保管）展览、复制、修复文物及相关研究。文物宣传、考古发掘本辖区内的文物保护管理。</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eastAsia="zh-CN"/>
        </w:rPr>
        <w:t>净觉寺围墙修缮保护工程项目。</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eastAsia="zh-CN"/>
        </w:rPr>
        <w:t>对净觉寺围墙的修缮维护</w:t>
      </w:r>
      <w:r>
        <w:rPr>
          <w:rFonts w:hint="eastAsia" w:ascii="仿宋" w:hAnsi="仿宋" w:eastAsia="仿宋" w:cs="仿宋"/>
        </w:rPr>
        <w:t>，从而</w:t>
      </w:r>
      <w:r>
        <w:rPr>
          <w:rFonts w:hint="eastAsia" w:ascii="仿宋" w:hAnsi="仿宋" w:eastAsia="仿宋" w:cs="仿宋"/>
          <w:lang w:eastAsia="zh-CN"/>
        </w:rPr>
        <w:t>使</w:t>
      </w:r>
      <w:r>
        <w:rPr>
          <w:rFonts w:hint="eastAsia" w:ascii="仿宋" w:hAnsi="仿宋" w:eastAsia="仿宋" w:cs="仿宋"/>
        </w:rPr>
        <w:t>项目的经济效益、社会效益的评价</w:t>
      </w:r>
      <w:r>
        <w:rPr>
          <w:rFonts w:hint="eastAsia" w:ascii="仿宋" w:hAnsi="仿宋" w:eastAsia="仿宋" w:cs="仿宋"/>
          <w:lang w:eastAsia="zh-CN"/>
        </w:rPr>
        <w:t>可以</w:t>
      </w:r>
      <w:r>
        <w:rPr>
          <w:rFonts w:hint="eastAsia" w:ascii="仿宋" w:hAnsi="仿宋" w:eastAsia="仿宋" w:cs="仿宋"/>
        </w:rPr>
        <w:t>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pStyle w:val="14"/>
        <w:rPr>
          <w:rFonts w:hint="eastAsia" w:ascii="仿宋" w:hAnsi="仿宋" w:eastAsia="仿宋" w:cs="仿宋"/>
          <w:kern w:val="2"/>
          <w:sz w:val="30"/>
          <w:szCs w:val="24"/>
          <w:lang w:val="en-US" w:eastAsia="zh-CN" w:bidi="ar-SA"/>
        </w:rPr>
      </w:pPr>
      <w:bookmarkStart w:id="28" w:name="_Toc22094_WPSOffice_Level2"/>
      <w:r>
        <w:rPr>
          <w:rFonts w:hint="eastAsia" w:ascii="仿宋" w:hAnsi="仿宋" w:eastAsia="仿宋" w:cs="仿宋"/>
          <w:kern w:val="2"/>
          <w:sz w:val="30"/>
          <w:szCs w:val="24"/>
          <w:lang w:val="en-US" w:eastAsia="zh-CN" w:bidi="ar-SA"/>
        </w:rPr>
        <w:t>净觉寺围墙修缮保护工作。项目年初安排资金42万元。项目内容：（1）针对倾斜变形严重的墙体采用补筑扶壁砖垛的方式进行加固；</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（2）按照规划设计要求，对围墙端部较大裂缝区域、不当补砌区域及后期不当整修区域采取原形制拆砌；</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（3）清理墙体表面污染，毛石下碱灌缝加固，并对其周边环境进行整治。</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净觉寺修缮保护工程按照合同施工，坚持高质量施工，已经完成工程主体，资金投入37.1205万元，合理合规安排使用资金。</w:t>
      </w:r>
    </w:p>
    <w:p>
      <w:pPr>
        <w:numPr>
          <w:ilvl w:val="0"/>
          <w:numId w:val="3"/>
        </w:numPr>
        <w:spacing w:line="600" w:lineRule="exact"/>
        <w:ind w:firstLine="600" w:firstLineChars="200"/>
        <w:outlineLvl w:val="0"/>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项目总体绩效目标</w:t>
      </w:r>
      <w:bookmarkEnd w:id="28"/>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部门整体绩效目标</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（一）加强文物保护工作。</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1、保护好国家、省、市重点文物保护单位的现状，加强古建筑的消防安全工作，把净觉寺的消防工作作为重点建立专职消防队并指导完成县内文物保护单位消防维护保养和电气检测工作。</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2、充分利用文物资源做好爱教基地的建设、旅游、民俗文化研究工作。做好全国重点文物保护单位孟家泉遗址的维护、省重点文物保护单位达王庄王氏宗祠、江浩故居的文物本体的维修工作。</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3、加强文物保护法的宣传，加大文物保护的执法力度。</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4、落实好文物的四有工作和文物保护责任制，全县92处文物，每处有一名保护员。做好文物日常保护工作</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（二）开展旅游工作，加强净觉寺景区的管理工作。</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1、加大宣传力度，通过各种渠道积极宣传净觉寺，增加客流量，同时提高服务质量和接待水平。</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2、加强景区内部景观建设，完成3A景区复核，达到上级旅游部门的评定标准，对现有的古建筑及院内园林进行有效的维护管理。</w:t>
      </w:r>
    </w:p>
    <w:p>
      <w:pPr>
        <w:pStyle w:val="15"/>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3、做好东院的维护与管理工作，体现净觉寺人文精神。 4、净觉寺水冲厕所投入使用后的维护保养工作。</w:t>
      </w:r>
      <w:bookmarkStart w:id="39" w:name="_GoBack"/>
      <w:bookmarkEnd w:id="39"/>
    </w:p>
    <w:p>
      <w:pPr>
        <w:spacing w:line="600" w:lineRule="exact"/>
        <w:ind w:firstLine="600" w:firstLineChars="200"/>
        <w:outlineLvl w:val="0"/>
        <w:rPr>
          <w:rFonts w:hint="eastAsia" w:ascii="仿宋" w:hAnsi="仿宋" w:eastAsia="仿宋" w:cs="仿宋"/>
          <w:kern w:val="2"/>
          <w:sz w:val="30"/>
          <w:szCs w:val="24"/>
          <w:lang w:val="en-US" w:eastAsia="zh-CN" w:bidi="ar-SA"/>
        </w:rPr>
      </w:pPr>
      <w:bookmarkStart w:id="29" w:name="_Toc18801_WPSOffice_Level2"/>
      <w:r>
        <w:rPr>
          <w:rFonts w:hint="eastAsia" w:ascii="仿宋" w:hAnsi="仿宋" w:eastAsia="仿宋" w:cs="仿宋"/>
          <w:kern w:val="2"/>
          <w:sz w:val="30"/>
          <w:szCs w:val="24"/>
          <w:lang w:val="en-US" w:eastAsia="zh-CN" w:bidi="ar-SA"/>
        </w:rPr>
        <w:t>（三）项目分项绩效目标</w:t>
      </w:r>
      <w:bookmarkEnd w:id="29"/>
    </w:p>
    <w:p>
      <w:pPr>
        <w:pStyle w:val="14"/>
        <w:rPr>
          <w:rFonts w:hint="eastAsia" w:ascii="仿宋" w:hAnsi="仿宋" w:eastAsia="仿宋" w:cs="仿宋"/>
          <w:kern w:val="2"/>
          <w:sz w:val="30"/>
          <w:szCs w:val="24"/>
          <w:lang w:val="en-US" w:eastAsia="zh-CN" w:bidi="ar-SA"/>
        </w:rPr>
      </w:pPr>
      <w:bookmarkStart w:id="30" w:name="_Toc14430_WPSOffice_Level1"/>
      <w:r>
        <w:rPr>
          <w:rFonts w:hint="eastAsia" w:ascii="仿宋" w:hAnsi="仿宋" w:eastAsia="仿宋" w:cs="仿宋"/>
          <w:kern w:val="2"/>
          <w:sz w:val="30"/>
          <w:szCs w:val="24"/>
          <w:lang w:val="en-US" w:eastAsia="zh-CN" w:bidi="ar-SA"/>
        </w:rPr>
        <w:t>绩效目标设定情况，对项目效果的指标化，分为产出指标、效益指标和满意度指标三个方面产出指标：数量指标：修缮围墙284米。</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质量指标：达到设计方案标准</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时效指标：按时结清尾款</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成本指标：低于申请资金数额</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效益指标：经济效益指标：评审中心审定价格低于预算26%</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社会效益指标：保护文物，传承文明</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可持续性指标：排除文物险情，延缓古建筑寿命，10年内围墙不用再维修。</w:t>
      </w:r>
    </w:p>
    <w:p>
      <w:pPr>
        <w:pStyle w:val="14"/>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服务对象满意度指标：周围群众满意度90%</w:t>
      </w:r>
    </w:p>
    <w:p>
      <w:pPr>
        <w:spacing w:line="600" w:lineRule="exact"/>
        <w:ind w:firstLine="600" w:firstLineChars="200"/>
        <w:outlineLvl w:val="0"/>
        <w:rPr>
          <w:rFonts w:hint="eastAsia" w:ascii="仿宋" w:hAnsi="仿宋" w:eastAsia="仿宋" w:cs="仿宋"/>
          <w:kern w:val="2"/>
          <w:sz w:val="30"/>
          <w:szCs w:val="24"/>
          <w:lang w:val="en-US" w:eastAsia="zh-CN" w:bidi="ar-SA"/>
        </w:rPr>
      </w:pPr>
    </w:p>
    <w:p>
      <w:pPr>
        <w:numPr>
          <w:ilvl w:val="0"/>
          <w:numId w:val="0"/>
        </w:numPr>
        <w:spacing w:line="600" w:lineRule="exact"/>
        <w:ind w:leftChars="200"/>
        <w:rPr>
          <w:rFonts w:hint="eastAsia" w:ascii="仿宋" w:hAnsi="仿宋" w:eastAsia="仿宋" w:cs="仿宋"/>
          <w:kern w:val="2"/>
          <w:sz w:val="30"/>
          <w:szCs w:val="24"/>
          <w:lang w:val="en-US" w:eastAsia="zh-CN" w:bidi="ar-SA"/>
        </w:rPr>
      </w:pPr>
    </w:p>
    <w:p>
      <w:pPr>
        <w:numPr>
          <w:ilvl w:val="0"/>
          <w:numId w:val="0"/>
        </w:numPr>
        <w:spacing w:line="600" w:lineRule="exact"/>
        <w:ind w:leftChars="200"/>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四、项目基本情况</w:t>
      </w:r>
      <w:bookmarkEnd w:id="30"/>
    </w:p>
    <w:p>
      <w:pPr>
        <w:spacing w:line="600" w:lineRule="exact"/>
        <w:ind w:firstLine="600" w:firstLineChars="200"/>
        <w:outlineLvl w:val="0"/>
        <w:rPr>
          <w:rFonts w:hint="eastAsia" w:ascii="仿宋" w:hAnsi="仿宋" w:eastAsia="仿宋" w:cs="仿宋"/>
          <w:kern w:val="2"/>
          <w:sz w:val="30"/>
          <w:szCs w:val="24"/>
          <w:lang w:val="en-US" w:eastAsia="zh-CN" w:bidi="ar-SA"/>
        </w:rPr>
      </w:pPr>
      <w:bookmarkStart w:id="31" w:name="_Toc4550_WPSOffice_Level2"/>
      <w:r>
        <w:rPr>
          <w:rFonts w:hint="eastAsia" w:ascii="仿宋" w:hAnsi="仿宋" w:eastAsia="仿宋" w:cs="仿宋"/>
          <w:kern w:val="2"/>
          <w:sz w:val="30"/>
          <w:szCs w:val="24"/>
          <w:lang w:val="en-US" w:eastAsia="zh-CN" w:bidi="ar-SA"/>
        </w:rPr>
        <w:t>（一）项目决策情况。</w:t>
      </w:r>
      <w:bookmarkEnd w:id="31"/>
    </w:p>
    <w:p>
      <w:pPr>
        <w:spacing w:line="540" w:lineRule="exact"/>
        <w:ind w:firstLine="600" w:firstLineChars="200"/>
        <w:outlineLvl w:val="0"/>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项目决策整体得分。</w:t>
      </w:r>
    </w:p>
    <w:p>
      <w:pPr>
        <w:spacing w:line="540" w:lineRule="exact"/>
        <w:ind w:firstLine="600" w:firstLineChars="200"/>
        <w:outlineLvl w:val="0"/>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00" w:firstLineChars="200"/>
        <w:outlineLvl w:val="0"/>
        <w:rPr>
          <w:rFonts w:hint="eastAsia" w:ascii="仿宋" w:hAnsi="仿宋" w:eastAsia="仿宋" w:cs="仿宋"/>
          <w:kern w:val="2"/>
          <w:sz w:val="30"/>
          <w:szCs w:val="24"/>
          <w:lang w:val="en-US" w:eastAsia="zh-CN" w:bidi="ar-SA"/>
        </w:rPr>
      </w:pPr>
      <w:r>
        <w:rPr>
          <w:rFonts w:hint="eastAsia" w:ascii="仿宋" w:hAnsi="仿宋" w:eastAsia="仿宋" w:cs="仿宋"/>
          <w:kern w:val="2"/>
          <w:sz w:val="30"/>
          <w:szCs w:val="24"/>
          <w:lang w:val="en-US" w:eastAsia="zh-CN" w:bidi="ar-SA"/>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88</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21160F"/>
    <w:rsid w:val="19730045"/>
    <w:rsid w:val="1CD83AD4"/>
    <w:rsid w:val="1D2E5E95"/>
    <w:rsid w:val="2451628F"/>
    <w:rsid w:val="28E31734"/>
    <w:rsid w:val="298D64D6"/>
    <w:rsid w:val="2E722C7C"/>
    <w:rsid w:val="2EBC5DD8"/>
    <w:rsid w:val="2F7D571C"/>
    <w:rsid w:val="34636A96"/>
    <w:rsid w:val="3AD62F4A"/>
    <w:rsid w:val="3E606C0D"/>
    <w:rsid w:val="3F625A53"/>
    <w:rsid w:val="3FC64A7F"/>
    <w:rsid w:val="4A091AF1"/>
    <w:rsid w:val="4C513BE2"/>
    <w:rsid w:val="4DE64FC7"/>
    <w:rsid w:val="4E322CB9"/>
    <w:rsid w:val="500752BA"/>
    <w:rsid w:val="5A392CCC"/>
    <w:rsid w:val="61A31F77"/>
    <w:rsid w:val="6206466E"/>
    <w:rsid w:val="6A5C42C4"/>
    <w:rsid w:val="6A7F14C0"/>
    <w:rsid w:val="6CBA76B1"/>
    <w:rsid w:val="6F722BE7"/>
    <w:rsid w:val="73EF1B5D"/>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Normal]"/>
    <w:qFormat/>
    <w:uiPriority w:val="0"/>
    <w:rPr>
      <w:rFonts w:ascii="宋体" w:hAnsi="宋体" w:eastAsia="宋体" w:cs="Times New Roman"/>
      <w:sz w:val="24"/>
      <w:lang w:val="en-US" w:eastAsia="en-US" w:bidi="ar-SA"/>
    </w:rPr>
  </w:style>
  <w:style w:type="paragraph" w:customStyle="1" w:styleId="14">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5">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10</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cp:lastPrinted>2024-04-22T01:37:19Z</cp:lastPrinted>
  <dcterms:modified xsi:type="dcterms:W3CDTF">2024-04-22T01:38:11Z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