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网络不良信息引导与处置</w:t>
      </w:r>
      <w:r>
        <w:rPr>
          <w:rFonts w:hint="eastAsia" w:ascii="方正小标宋_GBK" w:hAnsi="宋体" w:eastAsia="方正小标宋_GBK" w:cs="宋体"/>
          <w:bCs/>
          <w:kern w:val="0"/>
          <w:sz w:val="44"/>
          <w:szCs w:val="44"/>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val="en-US" w:eastAsia="zh-CN"/>
        </w:rPr>
        <w:t>网络不良信息引导与处置</w:t>
      </w:r>
      <w:r>
        <w:rPr>
          <w:rFonts w:hint="eastAsia" w:ascii="仿宋_GB2312" w:eastAsia="仿宋_GB2312"/>
          <w:sz w:val="32"/>
          <w:szCs w:val="32"/>
        </w:rPr>
        <w:t>”项目</w:t>
      </w:r>
      <w:r>
        <w:rPr>
          <w:rFonts w:hint="eastAsia" w:ascii="仿宋_GB2312" w:eastAsia="仿宋_GB2312"/>
          <w:sz w:val="32"/>
          <w:szCs w:val="32"/>
          <w:lang w:val="en-US" w:eastAsia="zh-CN"/>
        </w:rPr>
        <w:t>全年</w:t>
      </w:r>
      <w:r>
        <w:rPr>
          <w:rFonts w:hint="eastAsia" w:ascii="仿宋_GB2312" w:eastAsia="仿宋_GB2312"/>
          <w:sz w:val="32"/>
          <w:szCs w:val="32"/>
        </w:rPr>
        <w:t>预算</w:t>
      </w:r>
      <w:r>
        <w:rPr>
          <w:rFonts w:hint="eastAsia" w:ascii="仿宋_GB2312" w:eastAsia="仿宋_GB2312"/>
          <w:sz w:val="32"/>
          <w:szCs w:val="32"/>
          <w:lang w:val="en-US" w:eastAsia="zh-CN"/>
        </w:rPr>
        <w:t>18万</w:t>
      </w:r>
      <w:r>
        <w:rPr>
          <w:rFonts w:hint="eastAsia" w:ascii="仿宋_GB2312" w:eastAsia="仿宋_GB2312"/>
          <w:sz w:val="32"/>
          <w:szCs w:val="32"/>
        </w:rPr>
        <w:t>元，项目主要目标更好的对涉玉舆情进行监控，在大面积舆情事件发生前进行预防、分析、研判。资金累计支出进度3月底、6月底、10月底、12月底分别达到25%、50%、75%、100%。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项目共设产出指标、效果指标、满意度指标三个一级指标，下设7个二、三级指标。具体为：1、产出指标-数量指标-牢牢把握正确导向，为全省经济社会发展提供有力的舆论支持（不出现涉玉重大舆情事件），指标值&gt;=98；产出指标-质量指标-处理大量网络信息，对信息进行保密存储（妥善处理舆情），指标值&gt;=98；产出指标-时效指标-迅速处理网络舆情（通过软件迅速抓取涉玉舆情，把问题在萌芽阶段进行处理转接，重大事项及时通报县领导作出决定），指标值&gt;=98。2、效果指标-社会效益指标-社会稳定水平（通过舆情软件严密监测舆情，确保不出现重大舆情事故），指标值&gt;=98；效果指标-可持续影响指标-长期使用性（能够处理大量网上的数据，保密性更好），指标值&gt;=98；效果指标-经济效益指标-快速处理涉玉舆情（快速处理涉玉舆情，及早解决问题，节约社会成本），指标值&gt;=98。3、满意度指标-服务对象满意度指标-网络评估满意度（群众对玉田网络环境的满意度），指标值为&gt;=98。以上指标依据河北省委、省政府《关于进一步把加强舆情处置引导工作的意见》［2018］50号，网信部门负责舆情监测上报、风险预警及重大事件和敏感问题的应急处置和网络舆论引导相关要求。</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黑体"/>
          <w:sz w:val="32"/>
          <w:szCs w:val="32"/>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numPr>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pPr>
        <w:ind w:firstLine="640" w:firstLineChars="200"/>
      </w:pPr>
      <w:bookmarkStart w:id="0" w:name="_GoBack"/>
      <w:bookmarkEnd w:id="0"/>
      <w:r>
        <w:rPr>
          <w:rFonts w:hint="eastAsia" w:eastAsia="黑体"/>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6E80EF"/>
    <w:multiLevelType w:val="singleLevel"/>
    <w:tmpl w:val="C56E80E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A718D"/>
    <w:rsid w:val="008D0681"/>
    <w:rsid w:val="00D72339"/>
    <w:rsid w:val="0FD13331"/>
    <w:rsid w:val="44787793"/>
    <w:rsid w:val="4595474B"/>
    <w:rsid w:val="49D67DF9"/>
    <w:rsid w:val="51D879E2"/>
    <w:rsid w:val="54AB1F9B"/>
    <w:rsid w:val="63AF0C61"/>
    <w:rsid w:val="6CDB4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2024-04-20T06:23:52Z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