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522.73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522.73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410玉田县统计局本级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2"/>
        <w:gridCol w:w="1064"/>
        <w:gridCol w:w="1064"/>
        <w:gridCol w:w="1064"/>
        <w:gridCol w:w="1064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统计业务费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18.81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专项统计业务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专项普查活动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40.27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五经普经费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统计抽样调查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5.67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常规调查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费用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3C562956"/>
    <w:rsid w:val="3E8445A3"/>
    <w:rsid w:val="41AF5DDE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2024-04-22T08:32:05Z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FB8BD4AB1E964BF981A88FBD435AFF6E</vt:lpwstr>
  </property>
</Properties>
</file>