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w:t>
      </w:r>
      <w:r>
        <w:rPr>
          <w:rFonts w:hint="eastAsia" w:ascii="方正小标宋_GBK" w:hAnsi="宋体" w:eastAsia="方正小标宋_GBK" w:cs="宋体"/>
          <w:bCs/>
          <w:kern w:val="0"/>
          <w:sz w:val="44"/>
          <w:szCs w:val="44"/>
          <w:lang w:val="en-US" w:eastAsia="zh-CN"/>
        </w:rPr>
        <w:t>县生态环境保护事务中心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租赁费项目支出绩效评价报告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（一）项目概况。依据省市文件精神和县委、县政府文件要求，该项目属于财政事权范围，具有现实紧迫性、战略前瞻性，相同或相近领域无用途相似的预算安排，具有不可替代性。</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1、负责建立健全环境保护基本制度。拟订并组织实施全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环境保护政策、规划，起草地方规范性文件草案。组织编制环境功能区划，组织制定环境保护地方性标准、基准和技术规范，组织拟订并监督实施重点区域、流域污染防治规划和饮用水水源地环境保护规划，参与制定全市主体功能区划。</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2、负责重大环境问题的统筹协调和监督管理。牵头协调</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内重特大环境污染事故和生态破坏事件的调查处理，指导协调</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对重特大突发环境事件的应急、预警工作，协调解决有关跨区域环境污染纠纷，统筹协调全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重点流域、区域污染防治工作。</w:t>
      </w:r>
    </w:p>
    <w:p>
      <w:pPr>
        <w:spacing w:line="500" w:lineRule="exact"/>
        <w:ind w:firstLine="320" w:firstLineChars="1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3、负责落实全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污染物减排目标的责任。组织制定主要污染物排放总量控制和排污许可证制度并监督实施。提出全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总量控制的污染物名称和控制指标，督查、督办、核查各</w:t>
      </w:r>
      <w:r>
        <w:rPr>
          <w:rFonts w:hint="eastAsia" w:ascii="仿宋_GB2312" w:hAnsi="仿宋_GB2312" w:eastAsia="仿宋_GB2312" w:cs="仿宋_GB2312"/>
          <w:sz w:val="32"/>
          <w:szCs w:val="32"/>
          <w:lang w:val="en-US" w:eastAsia="zh-CN"/>
        </w:rPr>
        <w:t>乡镇、园区</w:t>
      </w:r>
      <w:r>
        <w:rPr>
          <w:rFonts w:hint="eastAsia" w:ascii="仿宋_GB2312" w:hAnsi="仿宋_GB2312" w:eastAsia="仿宋_GB2312" w:cs="仿宋_GB2312"/>
          <w:sz w:val="32"/>
          <w:szCs w:val="32"/>
        </w:rPr>
        <w:t>污染物减排任务完成情况，实施环境保护目标责任制、总量减排考核并公布考核结果。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4、负责提出环境保护领域固定资产投资规模和方向、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级财政性资金的安排意见，按</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政府规定权限，审批、核准全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规划内和年度计划规模内固定资产投资项目，并配合有关部门做好组织实施和监督工作。参与指导和推动全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循环经济与环保产业发展，参与应对气候变化工作。</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5、承担从源头上预防、控制环境污染和环境破坏的责任。受</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政府委托对重大经济和技术政策、发展规划以及重大经济开发计划进行环境影响评价，对涉及环境保护的地方规范性文件提出有关环境影响方面的意见：按国家和省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规定审批重大开发建设区域、项目环境影响评价文件。</w:t>
      </w:r>
    </w:p>
    <w:p>
      <w:pPr>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6、负责环境污染防治的监督管理。制定水体、大气、土壤、噪声、光、恶臭、固体废物、化学品、机动车等的污染防治管理制度并组织实施，会同有关部门监督管理饮用水水源地环境保护工作，组织指导</w:t>
      </w:r>
      <w:r>
        <w:rPr>
          <w:rFonts w:hint="eastAsia" w:ascii="仿宋_GB2312" w:hAnsi="仿宋_GB2312" w:eastAsia="仿宋_GB2312" w:cs="仿宋_GB2312"/>
          <w:sz w:val="32"/>
          <w:szCs w:val="32"/>
          <w:lang w:val="en-US" w:eastAsia="zh-CN"/>
        </w:rPr>
        <w:t>乡</w:t>
      </w:r>
      <w:r>
        <w:rPr>
          <w:rFonts w:hint="eastAsia" w:ascii="仿宋_GB2312" w:hAnsi="仿宋_GB2312" w:eastAsia="仿宋_GB2312" w:cs="仿宋_GB2312"/>
          <w:sz w:val="32"/>
          <w:szCs w:val="32"/>
        </w:rPr>
        <w:t>镇和农村的环境综合整治工作。组织全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主要河流跨县(区)界的断面水质目标责任考核。</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jc w:val="center"/>
        <w:outlineLvl w:val="3"/>
        <w:rPr>
          <w:rFonts w:ascii="宋体" w:hAnsi="宋体" w:cs="宋体"/>
          <w:b/>
          <w:bCs/>
          <w:sz w:val="28"/>
        </w:rPr>
      </w:pPr>
      <w:bookmarkStart w:id="0" w:name="_Toc63662913"/>
      <w:r>
        <w:rPr>
          <w:rFonts w:hint="eastAsia" w:ascii="宋体" w:hAnsi="宋体" w:cs="宋体"/>
          <w:b/>
          <w:bCs/>
          <w:sz w:val="28"/>
        </w:rPr>
        <w:t>玉田县租赁费项目</w:t>
      </w:r>
      <w:r>
        <w:rPr>
          <w:rFonts w:hint="eastAsia" w:ascii="方正仿宋_GBK" w:eastAsia="方正仿宋_GBK"/>
          <w:b/>
          <w:sz w:val="28"/>
        </w:rPr>
        <w:t>绩效目标表</w:t>
      </w:r>
      <w:bookmarkEnd w:id="0"/>
      <w:r>
        <w:fldChar w:fldCharType="begin"/>
      </w:r>
      <w:r>
        <w:rPr>
          <w:rFonts w:hint="eastAsia" w:ascii="方正仿宋_GBK" w:eastAsia="方正仿宋_GBK"/>
          <w:b/>
          <w:sz w:val="28"/>
        </w:rPr>
        <w:instrText xml:space="preserve">TC 2、大气污染防治环境咨询技术服务绩效目标表 \f C \l 1</w:instrText>
      </w:r>
      <w:r>
        <w:rPr>
          <w:rFonts w:ascii="方正仿宋_GBK" w:eastAsia="方正仿宋_GBK"/>
          <w:b/>
          <w:sz w:val="28"/>
        </w:rPr>
        <w:fldChar w:fldCharType="end"/>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hint="default" w:ascii="方正书宋_GBK" w:eastAsia="方正书宋_GBK"/>
                <w:b/>
                <w:lang w:val="en-US" w:eastAsia="zh-CN"/>
              </w:rPr>
            </w:pPr>
            <w:r>
              <w:rPr>
                <w:rFonts w:ascii="方正书宋_GBK" w:eastAsia="方正书宋_GBK"/>
                <w:b/>
              </w:rPr>
              <w:t>4</w:t>
            </w:r>
            <w:r>
              <w:rPr>
                <w:rFonts w:hint="eastAsia" w:ascii="方正书宋_GBK" w:eastAsia="方正书宋_GBK"/>
                <w:b/>
                <w:lang w:val="en-US" w:eastAsia="zh-CN"/>
              </w:rPr>
              <w:t>18001 玉田县生态环境保护事务中心</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hint="eastAsia" w:ascii="方正书宋_GBK" w:eastAsia="方正书宋_GBK"/>
              </w:rPr>
              <w:t>单位：</w:t>
            </w:r>
            <w:r>
              <w:rPr>
                <w:rFonts w:hint="eastAsia" w:ascii="方正书宋_GBK" w:eastAsia="方正书宋_GBK"/>
                <w:lang w:val="en-US" w:eastAsia="zh-CN"/>
              </w:rPr>
              <w:t>万</w:t>
            </w:r>
            <w:r>
              <w:rPr>
                <w:rFonts w:hint="eastAsia" w:ascii="方正书宋_GBK" w:eastAsia="方正书宋_GBK"/>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项目编码</w:t>
            </w:r>
          </w:p>
        </w:tc>
        <w:tc>
          <w:tcPr>
            <w:tcW w:w="2410" w:type="dxa"/>
            <w:gridSpan w:val="2"/>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ascii="方正书宋_GBK" w:eastAsia="方正书宋_GBK"/>
                <w:highlight w:val="none"/>
                <w:lang w:val="en-US" w:eastAsia="zh-CN"/>
              </w:rPr>
              <w:t>202300049527</w:t>
            </w:r>
            <w:bookmarkStart w:id="1" w:name="_GoBack"/>
            <w:bookmarkEnd w:id="1"/>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项目名称</w:t>
            </w:r>
          </w:p>
        </w:tc>
        <w:tc>
          <w:tcPr>
            <w:tcW w:w="4281" w:type="dxa"/>
            <w:gridSpan w:val="3"/>
            <w:shd w:val="clear" w:color="auto" w:fill="auto"/>
            <w:noWrap/>
            <w:vAlign w:val="center"/>
          </w:tcPr>
          <w:p>
            <w:pPr>
              <w:spacing w:line="300" w:lineRule="exact"/>
              <w:jc w:val="left"/>
              <w:rPr>
                <w:rFonts w:hint="eastAsia" w:ascii="方正书宋_GBK" w:eastAsia="方正书宋_GBK"/>
                <w:highlight w:val="none"/>
                <w:lang w:eastAsia="zh-CN"/>
              </w:rPr>
            </w:pPr>
            <w:r>
              <w:rPr>
                <w:rFonts w:hint="eastAsia" w:ascii="方正书宋_GBK" w:eastAsia="方正书宋_GBK"/>
                <w:bCs/>
                <w:highlight w:val="none"/>
                <w:lang w:val="en-US" w:eastAsia="zh-CN"/>
              </w:rPr>
              <w:t>租赁费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预算规模及资金用途</w:t>
            </w:r>
          </w:p>
        </w:tc>
        <w:tc>
          <w:tcPr>
            <w:tcW w:w="1134"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预算数</w:t>
            </w:r>
          </w:p>
        </w:tc>
        <w:tc>
          <w:tcPr>
            <w:tcW w:w="1276"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highlight w:val="none"/>
              </w:rPr>
              <w:t>4.01</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其中：财政资金</w:t>
            </w:r>
          </w:p>
        </w:tc>
        <w:tc>
          <w:tcPr>
            <w:tcW w:w="1304" w:type="dxa"/>
            <w:shd w:val="clear" w:color="auto" w:fill="auto"/>
            <w:noWrap/>
            <w:vAlign w:val="center"/>
          </w:tcPr>
          <w:p>
            <w:pPr>
              <w:spacing w:line="300" w:lineRule="exact"/>
              <w:jc w:val="left"/>
              <w:rPr>
                <w:rFonts w:hint="default" w:ascii="方正书宋_GBK" w:eastAsia="方正书宋_GBK"/>
                <w:highlight w:val="none"/>
                <w:lang w:val="en-US" w:eastAsia="zh-CN"/>
              </w:rPr>
            </w:pPr>
            <w:r>
              <w:rPr>
                <w:rFonts w:hint="eastAsia"/>
                <w:highlight w:val="none"/>
              </w:rPr>
              <w:t>4.01</w:t>
            </w:r>
          </w:p>
        </w:tc>
        <w:tc>
          <w:tcPr>
            <w:tcW w:w="1276" w:type="dxa"/>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其他资金</w:t>
            </w:r>
          </w:p>
        </w:tc>
        <w:tc>
          <w:tcPr>
            <w:tcW w:w="1701" w:type="dxa"/>
            <w:shd w:val="clear" w:color="auto" w:fill="auto"/>
            <w:noWrap/>
            <w:vAlign w:val="center"/>
          </w:tcPr>
          <w:p>
            <w:pPr>
              <w:spacing w:line="300" w:lineRule="exact"/>
              <w:jc w:val="left"/>
              <w:rPr>
                <w:rFonts w:ascii="方正书宋_GBK" w:eastAsia="方正书宋_GBK"/>
                <w:highlight w:val="none"/>
              </w:rPr>
            </w:pPr>
            <w:r>
              <w:rPr>
                <w:rFonts w:ascii="方正书宋_GBK" w:eastAsia="方正书宋_GBK"/>
                <w:highlight w:val="none"/>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rPr>
                <w:highlight w:val="none"/>
              </w:rPr>
            </w:pPr>
          </w:p>
        </w:tc>
        <w:tc>
          <w:tcPr>
            <w:tcW w:w="8278" w:type="dxa"/>
            <w:gridSpan w:val="6"/>
            <w:shd w:val="clear" w:color="auto" w:fill="auto"/>
            <w:noWrap/>
            <w:vAlign w:val="center"/>
          </w:tcPr>
          <w:p>
            <w:pPr>
              <w:spacing w:line="300" w:lineRule="exact"/>
              <w:jc w:val="left"/>
              <w:rPr>
                <w:rFonts w:hint="eastAsia" w:ascii="方正书宋_GBK" w:eastAsia="方正书宋_GBK"/>
                <w:bCs/>
                <w:highlight w:val="none"/>
                <w:lang w:eastAsia="zh-CN"/>
              </w:rPr>
            </w:pPr>
            <w:r>
              <w:rPr>
                <w:rFonts w:hint="eastAsia" w:ascii="方正书宋_GBK" w:eastAsia="方正书宋_GBK"/>
                <w:bCs/>
                <w:highlight w:val="none"/>
                <w:lang w:val="en-US" w:eastAsia="zh-CN"/>
              </w:rPr>
              <w:t>租赁费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highlight w:val="none"/>
              </w:rPr>
            </w:pPr>
            <w:r>
              <w:rPr>
                <w:rFonts w:hint="eastAsia" w:ascii="方正书宋_GBK" w:eastAsia="方正书宋_GBK"/>
                <w:b/>
                <w:highlight w:val="none"/>
              </w:rPr>
              <w:t>资金支出计划（</w:t>
            </w:r>
            <w:r>
              <w:rPr>
                <w:rFonts w:ascii="方正书宋_GBK" w:eastAsia="方正书宋_GBK"/>
                <w:b/>
                <w:highlight w:val="none"/>
              </w:rPr>
              <w:t>%</w:t>
            </w:r>
            <w:r>
              <w:rPr>
                <w:rFonts w:hint="eastAsia" w:ascii="方正书宋_GBK" w:eastAsia="方正书宋_GBK"/>
                <w:b/>
                <w:highlight w:val="none"/>
              </w:rPr>
              <w:t>）</w:t>
            </w:r>
          </w:p>
        </w:tc>
        <w:tc>
          <w:tcPr>
            <w:tcW w:w="2410"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3</w:t>
            </w:r>
            <w:r>
              <w:rPr>
                <w:rFonts w:hint="eastAsia" w:ascii="方正书宋_GBK" w:eastAsia="方正书宋_GBK"/>
                <w:b/>
                <w:highlight w:val="none"/>
              </w:rPr>
              <w:t>月底</w:t>
            </w:r>
          </w:p>
        </w:tc>
        <w:tc>
          <w:tcPr>
            <w:tcW w:w="1587"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6</w:t>
            </w:r>
            <w:r>
              <w:rPr>
                <w:rFonts w:hint="eastAsia" w:ascii="方正书宋_GBK" w:eastAsia="方正书宋_GBK"/>
                <w:b/>
                <w:highlight w:val="none"/>
              </w:rPr>
              <w:t>月底</w:t>
            </w:r>
          </w:p>
        </w:tc>
        <w:tc>
          <w:tcPr>
            <w:tcW w:w="1304" w:type="dxa"/>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10</w:t>
            </w:r>
            <w:r>
              <w:rPr>
                <w:rFonts w:hint="eastAsia" w:ascii="方正书宋_GBK" w:eastAsia="方正书宋_GBK"/>
                <w:b/>
                <w:highlight w:val="none"/>
              </w:rPr>
              <w:t>月底</w:t>
            </w:r>
          </w:p>
        </w:tc>
        <w:tc>
          <w:tcPr>
            <w:tcW w:w="2977" w:type="dxa"/>
            <w:gridSpan w:val="2"/>
            <w:shd w:val="clear" w:color="auto" w:fill="auto"/>
            <w:noWrap/>
            <w:vAlign w:val="center"/>
          </w:tcPr>
          <w:p>
            <w:pPr>
              <w:spacing w:line="300" w:lineRule="exact"/>
              <w:jc w:val="center"/>
              <w:rPr>
                <w:rFonts w:ascii="方正书宋_GBK" w:eastAsia="方正书宋_GBK"/>
                <w:b/>
                <w:highlight w:val="none"/>
              </w:rPr>
            </w:pPr>
            <w:r>
              <w:rPr>
                <w:rFonts w:ascii="方正书宋_GBK" w:eastAsia="方正书宋_GBK"/>
                <w:b/>
                <w:highlight w:val="none"/>
              </w:rPr>
              <w:t>12</w:t>
            </w:r>
            <w:r>
              <w:rPr>
                <w:rFonts w:hint="eastAsia" w:ascii="方正书宋_GBK" w:eastAsia="方正书宋_GBK"/>
                <w:b/>
                <w:highlight w:val="none"/>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rPr>
                <w:highlight w:val="none"/>
              </w:rPr>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highlight w:val="none"/>
              </w:rPr>
            </w:pPr>
            <w:r>
              <w:rPr>
                <w:rFonts w:ascii="方正书宋_GBK" w:eastAsia="方正书宋_GBK"/>
                <w:highlight w:val="none"/>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保证数据准确性</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保证优良天数指标</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保证资金支出进度</w:t>
            </w:r>
          </w:p>
        </w:tc>
      </w:tr>
    </w:tbl>
    <w:p>
      <w:pPr>
        <w:spacing w:line="14" w:lineRule="exact"/>
        <w:ind w:firstLine="420" w:firstLineChars="200"/>
        <w:jc w:val="center"/>
        <w:rPr>
          <w:rFonts w:hAnsi="宋体"/>
        </w:rPr>
      </w:pP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覆盖情况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优良情况</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完成及时率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社会影响力</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受益人口满意度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可持续影响指标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监测、评价完成率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项目参与人员满意度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受益群众满意度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289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企业满意度</w:t>
            </w:r>
          </w:p>
        </w:tc>
        <w:tc>
          <w:tcPr>
            <w:tcW w:w="1276"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1701" w:type="dxa"/>
            <w:shd w:val="clear" w:color="auto" w:fill="auto"/>
            <w:noWrap/>
            <w:vAlign w:val="center"/>
          </w:tcPr>
          <w:p>
            <w:pPr>
              <w:spacing w:line="300" w:lineRule="exact"/>
              <w:jc w:val="left"/>
              <w:rPr>
                <w:rFonts w:ascii="方正书宋_GBK" w:eastAsia="方正书宋_GBK"/>
              </w:rPr>
            </w:pPr>
            <w:r>
              <w:rPr>
                <w:rFonts w:hint="eastAsia" w:ascii="方正书宋_GBK" w:eastAsia="方正书宋_GBK"/>
              </w:rPr>
              <w:t>县委县政府文件</w:t>
            </w:r>
          </w:p>
        </w:tc>
      </w:tr>
    </w:tbl>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该项目实施计划科学合理可行，实施路径最优，相关管理制度健全，实施过程中的不确定性和风险具有可控性。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该项目具有明确的绩效目标，绩效目标与要解决的问题相匹配、与现实需求相匹配，细化、量化、客观、适度。</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adjustRightInd w:val="0"/>
        <w:snapToGrid w:val="0"/>
        <w:spacing w:line="600" w:lineRule="exact"/>
        <w:ind w:firstLine="482"/>
        <w:rPr>
          <w:rFonts w:ascii="仿宋_GB2312" w:eastAsia="仿宋_GB2312"/>
          <w:sz w:val="32"/>
          <w:szCs w:val="32"/>
        </w:rPr>
      </w:pPr>
      <w:r>
        <w:rPr>
          <w:rFonts w:hint="eastAsia" w:ascii="仿宋_GB2312" w:eastAsia="仿宋_GB2312"/>
          <w:sz w:val="32"/>
          <w:szCs w:val="32"/>
        </w:rPr>
        <w:t>该项目财政投入测算依据充分，测算标准合理，财政资金支持方式适当，投入成本与预期效益相匹配。</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有些项目支出进度较缓慢，因为按照合同约定需要年底支付尾款，有些则是按照合同比例付款。为确保全年绩效目标实现，今后在项目预算管理方面应更加明确时点，保证预算的合理性</w:t>
      </w:r>
      <w:r>
        <w:rPr>
          <w:rFonts w:hint="eastAsia" w:ascii="仿宋_GB2312" w:hAnsi="仿宋_GB2312" w:eastAsia="仿宋_GB2312" w:cs="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Malgun Gothic Semilight"/>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6D4D9"/>
    <w:multiLevelType w:val="singleLevel"/>
    <w:tmpl w:val="31D6D4D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WM4YWI4N2JhNzRjNjFiODJhOTk0ZGU2NjczZGEifQ=="/>
  </w:docVars>
  <w:rsids>
    <w:rsidRoot w:val="00D72339"/>
    <w:rsid w:val="006D698D"/>
    <w:rsid w:val="007B014A"/>
    <w:rsid w:val="008D0681"/>
    <w:rsid w:val="009B2E89"/>
    <w:rsid w:val="00D72339"/>
    <w:rsid w:val="03547F3F"/>
    <w:rsid w:val="03F84D6E"/>
    <w:rsid w:val="07A56FBB"/>
    <w:rsid w:val="08D13DE0"/>
    <w:rsid w:val="0AE05E8C"/>
    <w:rsid w:val="0C8F1FE8"/>
    <w:rsid w:val="0D2546FA"/>
    <w:rsid w:val="0DD759F4"/>
    <w:rsid w:val="0E342E47"/>
    <w:rsid w:val="0FD13331"/>
    <w:rsid w:val="14CB38C1"/>
    <w:rsid w:val="175C51BC"/>
    <w:rsid w:val="195645B9"/>
    <w:rsid w:val="1A3A17E5"/>
    <w:rsid w:val="1ADE6DEB"/>
    <w:rsid w:val="1C534DE0"/>
    <w:rsid w:val="1D587BAD"/>
    <w:rsid w:val="1EDB10BC"/>
    <w:rsid w:val="1FD20711"/>
    <w:rsid w:val="20A0436C"/>
    <w:rsid w:val="21050673"/>
    <w:rsid w:val="259C15A5"/>
    <w:rsid w:val="29B11398"/>
    <w:rsid w:val="2ADE61BC"/>
    <w:rsid w:val="2B2F6A18"/>
    <w:rsid w:val="2E254102"/>
    <w:rsid w:val="2F7E7174"/>
    <w:rsid w:val="30E42053"/>
    <w:rsid w:val="31750EFD"/>
    <w:rsid w:val="33977850"/>
    <w:rsid w:val="355C48AD"/>
    <w:rsid w:val="369533B9"/>
    <w:rsid w:val="39916AF0"/>
    <w:rsid w:val="3A802DEC"/>
    <w:rsid w:val="3AC86541"/>
    <w:rsid w:val="3B7346FF"/>
    <w:rsid w:val="3D235CB1"/>
    <w:rsid w:val="3DD84CED"/>
    <w:rsid w:val="41362456"/>
    <w:rsid w:val="41E41EB2"/>
    <w:rsid w:val="44787793"/>
    <w:rsid w:val="4595474B"/>
    <w:rsid w:val="482A25E9"/>
    <w:rsid w:val="49D67DF9"/>
    <w:rsid w:val="4CBB5F06"/>
    <w:rsid w:val="4E5E2FEC"/>
    <w:rsid w:val="4FB70C06"/>
    <w:rsid w:val="502517CC"/>
    <w:rsid w:val="5181771E"/>
    <w:rsid w:val="51D879E2"/>
    <w:rsid w:val="534A1D91"/>
    <w:rsid w:val="53F341D7"/>
    <w:rsid w:val="5583158B"/>
    <w:rsid w:val="561B7A15"/>
    <w:rsid w:val="56B934B6"/>
    <w:rsid w:val="58214C09"/>
    <w:rsid w:val="59451FCE"/>
    <w:rsid w:val="5DF72B16"/>
    <w:rsid w:val="602E29D0"/>
    <w:rsid w:val="607E12CC"/>
    <w:rsid w:val="62157A0E"/>
    <w:rsid w:val="632B74E9"/>
    <w:rsid w:val="63AF0C61"/>
    <w:rsid w:val="64370110"/>
    <w:rsid w:val="655B398A"/>
    <w:rsid w:val="66546D57"/>
    <w:rsid w:val="668533B4"/>
    <w:rsid w:val="68C12039"/>
    <w:rsid w:val="6AD40467"/>
    <w:rsid w:val="6C322C61"/>
    <w:rsid w:val="6F60676D"/>
    <w:rsid w:val="70893D25"/>
    <w:rsid w:val="7113780F"/>
    <w:rsid w:val="71F80EDE"/>
    <w:rsid w:val="746E5488"/>
    <w:rsid w:val="74F33BDF"/>
    <w:rsid w:val="75385A96"/>
    <w:rsid w:val="76EA1012"/>
    <w:rsid w:val="7D23702C"/>
    <w:rsid w:val="7EEB410D"/>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2201</Words>
  <Characters>2249</Characters>
  <Lines>1</Lines>
  <Paragraphs>1</Paragraphs>
  <TotalTime>0</TotalTime>
  <ScaleCrop>false</ScaleCrop>
  <LinksUpToDate>false</LinksUpToDate>
  <CharactersWithSpaces>2257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2024-04-22T02:47:00Z</cp:lastPrinted>
  <dcterms:modified xsi:type="dcterms:W3CDTF">2024-04-23T02:26:13Z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