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bookmarkStart w:id="39" w:name="_GoBack"/>
      <w:bookmarkEnd w:id="39"/>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指挥中心精细化管理平台    </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z w:val="36"/>
          <w:szCs w:val="36"/>
          <w:u w:val="single"/>
          <w:lang w:val="en-US" w:eastAsia="zh-CN"/>
        </w:rPr>
        <w:t>玉田县生态环境保护事务中心</w:t>
      </w:r>
    </w:p>
    <w:p>
      <w:pPr>
        <w:pStyle w:val="10"/>
        <w:framePr w:w="8328" w:h="4402" w:hRule="exact" w:wrap="around" w:vAnchor="page" w:hAnchor="page" w:x="1826" w:y="9954"/>
        <w:pBdr>
          <w:top w:val="none" w:color="auto" w:sz="0" w:space="0"/>
          <w:left w:val="none" w:color="auto" w:sz="0" w:space="0"/>
          <w:bottom w:val="none" w:color="auto" w:sz="0" w:space="0"/>
          <w:right w:val="none" w:color="auto" w:sz="0" w:space="0"/>
        </w:pBdr>
        <w:spacing w:line="622" w:lineRule="exact"/>
        <w:jc w:val="left"/>
        <w:rPr>
          <w:rFonts w:ascii="仿宋" w:hAnsi="仿宋" w:eastAsia="仿宋" w:cs="仿宋"/>
          <w:sz w:val="36"/>
          <w:szCs w:val="36"/>
        </w:rPr>
      </w:pPr>
      <w:r>
        <w:rPr>
          <w:rFonts w:hint="eastAsia" w:ascii="仿宋" w:hAnsi="仿宋" w:eastAsia="仿宋" w:cs="仿宋"/>
          <w:color w:val="000000"/>
          <w:sz w:val="36"/>
          <w:szCs w:val="36"/>
        </w:rPr>
        <w:t>项目负责人：</w:t>
      </w:r>
      <w:r>
        <w:rPr>
          <w:rFonts w:hint="eastAsia" w:ascii="仿宋" w:hAnsi="仿宋" w:eastAsia="仿宋" w:cs="仿宋"/>
          <w:color w:val="000000"/>
          <w:sz w:val="36"/>
          <w:szCs w:val="36"/>
          <w:u w:val="single"/>
        </w:rPr>
        <w:t xml:space="preserve">   </w:t>
      </w:r>
      <w:r>
        <w:rPr>
          <w:rFonts w:hint="eastAsia" w:ascii="仿宋" w:hAnsi="仿宋" w:eastAsia="仿宋" w:cs="仿宋"/>
          <w:color w:val="000000"/>
          <w:sz w:val="36"/>
          <w:szCs w:val="36"/>
          <w:u w:val="single"/>
          <w:lang w:val="en-US" w:eastAsia="zh-CN"/>
        </w:rPr>
        <w:t xml:space="preserve">  杨良栓</w:t>
      </w:r>
      <w:r>
        <w:rPr>
          <w:rFonts w:hint="eastAsia" w:ascii="仿宋" w:hAnsi="仿宋" w:eastAsia="仿宋" w:cs="仿宋"/>
          <w:color w:val="000000"/>
          <w:sz w:val="36"/>
          <w:szCs w:val="36"/>
          <w:u w:val="single"/>
        </w:rPr>
        <w:t xml:space="preserve">     </w:t>
      </w:r>
      <w:r>
        <w:rPr>
          <w:rFonts w:hint="eastAsia" w:ascii="仿宋" w:hAnsi="仿宋" w:eastAsia="仿宋" w:cs="仿宋"/>
          <w:color w:val="000000"/>
          <w:sz w:val="36"/>
          <w:szCs w:val="36"/>
          <w:u w:val="single"/>
          <w:lang w:val="en-US" w:eastAsia="zh-CN"/>
        </w:rPr>
        <w:t xml:space="preserve"> </w:t>
      </w:r>
      <w:r>
        <w:rPr>
          <w:rFonts w:hint="eastAsia" w:ascii="仿宋" w:hAnsi="仿宋" w:eastAsia="仿宋" w:cs="仿宋"/>
          <w:color w:val="000000"/>
          <w:sz w:val="36"/>
          <w:szCs w:val="36"/>
          <w:u w:val="single"/>
        </w:rPr>
        <w:t xml:space="preserve">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z w:val="36"/>
          <w:szCs w:val="36"/>
          <w:u w:val="single"/>
        </w:rPr>
      </w:pPr>
      <w:r>
        <w:rPr>
          <w:rFonts w:hint="eastAsia" w:ascii="仿宋" w:hAnsi="仿宋" w:eastAsia="仿宋" w:cs="仿宋"/>
          <w:color w:val="000000"/>
          <w:sz w:val="36"/>
          <w:szCs w:val="36"/>
        </w:rPr>
        <w:t>联系电话：</w:t>
      </w:r>
      <w:r>
        <w:rPr>
          <w:rFonts w:hint="eastAsia" w:ascii="仿宋" w:hAnsi="仿宋" w:eastAsia="仿宋" w:cs="仿宋"/>
          <w:color w:val="000000"/>
          <w:sz w:val="36"/>
          <w:szCs w:val="36"/>
          <w:u w:val="single"/>
        </w:rPr>
        <w:t xml:space="preserve">  </w:t>
      </w:r>
      <w:r>
        <w:rPr>
          <w:rFonts w:hint="eastAsia" w:ascii="仿宋" w:hAnsi="仿宋" w:eastAsia="仿宋" w:cs="仿宋"/>
          <w:color w:val="000000"/>
          <w:sz w:val="36"/>
          <w:szCs w:val="36"/>
          <w:u w:val="single"/>
          <w:lang w:val="en-US" w:eastAsia="zh-CN"/>
        </w:rPr>
        <w:t xml:space="preserve">     13012019991</w:t>
      </w:r>
      <w:r>
        <w:rPr>
          <w:rFonts w:hint="eastAsia" w:ascii="仿宋" w:hAnsi="仿宋" w:eastAsia="仿宋" w:cs="仿宋"/>
          <w:color w:val="000000"/>
          <w:sz w:val="36"/>
          <w:szCs w:val="36"/>
          <w:u w:val="single"/>
        </w:rPr>
        <w:t xml:space="preserve">     </w:t>
      </w:r>
      <w:r>
        <w:rPr>
          <w:rFonts w:hint="eastAsia" w:ascii="仿宋" w:hAnsi="仿宋" w:eastAsia="仿宋" w:cs="仿宋"/>
          <w:color w:val="000000"/>
          <w:sz w:val="36"/>
          <w:szCs w:val="36"/>
          <w:u w:val="single"/>
          <w:lang w:val="en-US" w:eastAsia="zh-CN"/>
        </w:rPr>
        <w:t xml:space="preserve"> </w:t>
      </w:r>
      <w:r>
        <w:rPr>
          <w:rFonts w:hint="eastAsia" w:ascii="仿宋" w:hAnsi="仿宋" w:eastAsia="仿宋" w:cs="仿宋"/>
          <w:color w:val="000000"/>
          <w:sz w:val="36"/>
          <w:szCs w:val="36"/>
          <w:u w:val="single"/>
        </w:rPr>
        <w:t xml:space="preserve">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2024年4月17日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spacing w:line="500" w:lineRule="exact"/>
        <w:ind w:firstLine="640" w:firstLineChars="200"/>
        <w:jc w:val="left"/>
        <w:rPr>
          <w:rFonts w:ascii="仿宋" w:hAnsi="仿宋" w:eastAsia="仿宋"/>
          <w:sz w:val="32"/>
          <w:szCs w:val="32"/>
        </w:rPr>
      </w:pPr>
      <w:bookmarkStart w:id="21" w:name="_Toc31309_WPSOffice_Level1"/>
      <w:r>
        <w:rPr>
          <w:rFonts w:ascii="仿宋" w:hAnsi="仿宋" w:eastAsia="仿宋"/>
          <w:sz w:val="32"/>
          <w:szCs w:val="32"/>
        </w:rPr>
        <w:t>1</w:t>
      </w:r>
      <w:r>
        <w:rPr>
          <w:rFonts w:hint="eastAsia" w:ascii="仿宋" w:hAnsi="仿宋" w:eastAsia="仿宋"/>
          <w:sz w:val="32"/>
          <w:szCs w:val="32"/>
        </w:rPr>
        <w:t>、负责建立健全环境保护基本制度。拟订并组织实施全</w:t>
      </w:r>
      <w:r>
        <w:rPr>
          <w:rFonts w:hint="eastAsia" w:ascii="仿宋" w:hAnsi="仿宋" w:eastAsia="仿宋"/>
          <w:sz w:val="32"/>
          <w:szCs w:val="32"/>
          <w:lang w:eastAsia="zh-CN"/>
        </w:rPr>
        <w:t>县</w:t>
      </w:r>
      <w:r>
        <w:rPr>
          <w:rFonts w:hint="eastAsia" w:ascii="仿宋" w:hAnsi="仿宋" w:eastAsia="仿宋"/>
          <w:sz w:val="32"/>
          <w:szCs w:val="32"/>
        </w:rPr>
        <w:t>环境保护政策、规划，起草地方规范性文件草案。组织编制环境功能区划，组织制定环境保护地方性标准、基准和技术规范，组织拟订并监督实施重点区域、流域污染防治规划和饮用水水源地环境保护规划，参与制定全</w:t>
      </w:r>
      <w:r>
        <w:rPr>
          <w:rFonts w:hint="eastAsia" w:ascii="仿宋" w:hAnsi="仿宋" w:eastAsia="仿宋"/>
          <w:sz w:val="32"/>
          <w:szCs w:val="32"/>
          <w:lang w:eastAsia="zh-CN"/>
        </w:rPr>
        <w:t>县</w:t>
      </w:r>
      <w:r>
        <w:rPr>
          <w:rFonts w:hint="eastAsia" w:ascii="仿宋" w:hAnsi="仿宋" w:eastAsia="仿宋"/>
          <w:sz w:val="32"/>
          <w:szCs w:val="32"/>
        </w:rPr>
        <w:t>主体功能区划。</w:t>
      </w:r>
    </w:p>
    <w:p>
      <w:pPr>
        <w:spacing w:line="500" w:lineRule="exact"/>
        <w:ind w:firstLine="640" w:firstLineChars="200"/>
        <w:jc w:val="left"/>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、负责重大环境问题的统筹协调和监督管理。牵头协调</w:t>
      </w:r>
      <w:r>
        <w:rPr>
          <w:rFonts w:hint="eastAsia" w:ascii="仿宋" w:hAnsi="仿宋" w:eastAsia="仿宋"/>
          <w:sz w:val="32"/>
          <w:szCs w:val="32"/>
          <w:lang w:eastAsia="zh-CN"/>
        </w:rPr>
        <w:t>县</w:t>
      </w:r>
      <w:r>
        <w:rPr>
          <w:rFonts w:hint="eastAsia" w:ascii="仿宋" w:hAnsi="仿宋" w:eastAsia="仿宋"/>
          <w:sz w:val="32"/>
          <w:szCs w:val="32"/>
        </w:rPr>
        <w:t>内重特大环境污染事故和生态破坏事件的调查处理，指导协调</w:t>
      </w:r>
      <w:r>
        <w:rPr>
          <w:rFonts w:hint="eastAsia" w:ascii="仿宋" w:hAnsi="仿宋" w:eastAsia="仿宋"/>
          <w:sz w:val="32"/>
          <w:szCs w:val="32"/>
          <w:lang w:val="en-US" w:eastAsia="zh-CN"/>
        </w:rPr>
        <w:t>乡镇</w:t>
      </w:r>
      <w:r>
        <w:rPr>
          <w:rFonts w:hint="eastAsia" w:ascii="仿宋" w:hAnsi="仿宋" w:eastAsia="仿宋"/>
          <w:sz w:val="32"/>
          <w:szCs w:val="32"/>
        </w:rPr>
        <w:t>对重特大突发环境事件的应急、预警工作，协调解决有关跨区域环境污染纠纷，统筹协调全</w:t>
      </w:r>
      <w:r>
        <w:rPr>
          <w:rFonts w:hint="eastAsia" w:ascii="仿宋" w:hAnsi="仿宋" w:eastAsia="仿宋"/>
          <w:sz w:val="32"/>
          <w:szCs w:val="32"/>
          <w:lang w:eastAsia="zh-CN"/>
        </w:rPr>
        <w:t>县</w:t>
      </w:r>
      <w:r>
        <w:rPr>
          <w:rFonts w:hint="eastAsia" w:ascii="仿宋" w:hAnsi="仿宋" w:eastAsia="仿宋"/>
          <w:sz w:val="32"/>
          <w:szCs w:val="32"/>
        </w:rPr>
        <w:t>重点流域、区域污染防治工作。</w:t>
      </w:r>
    </w:p>
    <w:p>
      <w:pPr>
        <w:spacing w:line="500" w:lineRule="exact"/>
        <w:ind w:firstLine="320" w:firstLineChars="100"/>
        <w:jc w:val="left"/>
        <w:rPr>
          <w:rFonts w:ascii="仿宋" w:hAnsi="仿宋" w:eastAsia="仿宋"/>
          <w:sz w:val="32"/>
          <w:szCs w:val="32"/>
        </w:rPr>
      </w:pPr>
      <w:r>
        <w:rPr>
          <w:rFonts w:ascii="仿宋" w:hAnsi="仿宋" w:eastAsia="仿宋"/>
          <w:sz w:val="32"/>
          <w:szCs w:val="32"/>
        </w:rPr>
        <w:t xml:space="preserve"> 3</w:t>
      </w:r>
      <w:r>
        <w:rPr>
          <w:rFonts w:hint="eastAsia" w:ascii="仿宋" w:hAnsi="仿宋" w:eastAsia="仿宋"/>
          <w:sz w:val="32"/>
          <w:szCs w:val="32"/>
        </w:rPr>
        <w:t>、负责落实全</w:t>
      </w:r>
      <w:r>
        <w:rPr>
          <w:rFonts w:hint="eastAsia" w:ascii="仿宋" w:hAnsi="仿宋" w:eastAsia="仿宋"/>
          <w:sz w:val="32"/>
          <w:szCs w:val="32"/>
          <w:lang w:eastAsia="zh-CN"/>
        </w:rPr>
        <w:t>县</w:t>
      </w:r>
      <w:r>
        <w:rPr>
          <w:rFonts w:hint="eastAsia" w:ascii="仿宋" w:hAnsi="仿宋" w:eastAsia="仿宋"/>
          <w:sz w:val="32"/>
          <w:szCs w:val="32"/>
        </w:rPr>
        <w:t>污染物减排目标的责任。组织制定主要污染物排放总量控制和排污许可证制度并监督实施。提出全</w:t>
      </w:r>
      <w:r>
        <w:rPr>
          <w:rFonts w:hint="eastAsia" w:ascii="仿宋" w:hAnsi="仿宋" w:eastAsia="仿宋"/>
          <w:sz w:val="32"/>
          <w:szCs w:val="32"/>
          <w:lang w:eastAsia="zh-CN"/>
        </w:rPr>
        <w:t>县</w:t>
      </w:r>
      <w:r>
        <w:rPr>
          <w:rFonts w:hint="eastAsia" w:ascii="仿宋" w:hAnsi="仿宋" w:eastAsia="仿宋"/>
          <w:sz w:val="32"/>
          <w:szCs w:val="32"/>
        </w:rPr>
        <w:t>总量控制的污染物名称和控制指标，督查、督办、核查各</w:t>
      </w:r>
      <w:r>
        <w:rPr>
          <w:rFonts w:hint="eastAsia" w:ascii="仿宋" w:hAnsi="仿宋" w:eastAsia="仿宋"/>
          <w:sz w:val="32"/>
          <w:szCs w:val="32"/>
          <w:lang w:val="en-US" w:eastAsia="zh-CN"/>
        </w:rPr>
        <w:t>乡镇</w:t>
      </w:r>
      <w:r>
        <w:rPr>
          <w:rFonts w:hint="eastAsia" w:ascii="仿宋" w:hAnsi="仿宋" w:eastAsia="仿宋"/>
          <w:sz w:val="32"/>
          <w:szCs w:val="32"/>
        </w:rPr>
        <w:t>污染物减排任务完成情况，实施环境保护目标责任制、总量减排考核并公布考核结果。</w:t>
      </w:r>
    </w:p>
    <w:p>
      <w:pPr>
        <w:spacing w:line="500" w:lineRule="exact"/>
        <w:ind w:firstLine="640" w:firstLineChars="200"/>
        <w:jc w:val="left"/>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、负责提出环境保护领域固定资产投资规模和方向、</w:t>
      </w:r>
      <w:r>
        <w:rPr>
          <w:rFonts w:hint="eastAsia" w:ascii="仿宋" w:hAnsi="仿宋" w:eastAsia="仿宋"/>
          <w:sz w:val="32"/>
          <w:szCs w:val="32"/>
          <w:lang w:eastAsia="zh-CN"/>
        </w:rPr>
        <w:t>县</w:t>
      </w:r>
      <w:r>
        <w:rPr>
          <w:rFonts w:hint="eastAsia" w:ascii="仿宋" w:hAnsi="仿宋" w:eastAsia="仿宋"/>
          <w:sz w:val="32"/>
          <w:szCs w:val="32"/>
        </w:rPr>
        <w:t>级财政性资金的安排意见，按</w:t>
      </w:r>
      <w:r>
        <w:rPr>
          <w:rFonts w:hint="eastAsia" w:ascii="仿宋" w:hAnsi="仿宋" w:eastAsia="仿宋"/>
          <w:sz w:val="32"/>
          <w:szCs w:val="32"/>
          <w:lang w:eastAsia="zh-CN"/>
        </w:rPr>
        <w:t>县</w:t>
      </w:r>
      <w:r>
        <w:rPr>
          <w:rFonts w:hint="eastAsia" w:ascii="仿宋" w:hAnsi="仿宋" w:eastAsia="仿宋"/>
          <w:sz w:val="32"/>
          <w:szCs w:val="32"/>
        </w:rPr>
        <w:t>政府规定权限，审批、核准全</w:t>
      </w:r>
      <w:r>
        <w:rPr>
          <w:rFonts w:hint="eastAsia" w:ascii="仿宋" w:hAnsi="仿宋" w:eastAsia="仿宋"/>
          <w:sz w:val="32"/>
          <w:szCs w:val="32"/>
          <w:lang w:eastAsia="zh-CN"/>
        </w:rPr>
        <w:t>县</w:t>
      </w:r>
      <w:r>
        <w:rPr>
          <w:rFonts w:hint="eastAsia" w:ascii="仿宋" w:hAnsi="仿宋" w:eastAsia="仿宋"/>
          <w:sz w:val="32"/>
          <w:szCs w:val="32"/>
        </w:rPr>
        <w:t>规划内和年度计划规模内固定资产投资项目，并配合有关部门做好组织实施和监督工作。参与指导和推动全</w:t>
      </w:r>
      <w:r>
        <w:rPr>
          <w:rFonts w:hint="eastAsia" w:ascii="仿宋" w:hAnsi="仿宋" w:eastAsia="仿宋"/>
          <w:sz w:val="32"/>
          <w:szCs w:val="32"/>
          <w:lang w:eastAsia="zh-CN"/>
        </w:rPr>
        <w:t>县</w:t>
      </w:r>
      <w:r>
        <w:rPr>
          <w:rFonts w:hint="eastAsia" w:ascii="仿宋" w:hAnsi="仿宋" w:eastAsia="仿宋"/>
          <w:sz w:val="32"/>
          <w:szCs w:val="32"/>
        </w:rPr>
        <w:t>循环经济与环保产业发展，参与应对气候变化工作。</w:t>
      </w:r>
    </w:p>
    <w:p>
      <w:pPr>
        <w:spacing w:line="500" w:lineRule="exact"/>
        <w:ind w:firstLine="640" w:firstLineChars="200"/>
        <w:jc w:val="left"/>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、承担从源头上预防、控制环境污染和环境破坏的责任。受</w:t>
      </w:r>
      <w:r>
        <w:rPr>
          <w:rFonts w:hint="eastAsia" w:ascii="仿宋" w:hAnsi="仿宋" w:eastAsia="仿宋"/>
          <w:sz w:val="32"/>
          <w:szCs w:val="32"/>
          <w:lang w:eastAsia="zh-CN"/>
        </w:rPr>
        <w:t>县</w:t>
      </w:r>
      <w:r>
        <w:rPr>
          <w:rFonts w:hint="eastAsia" w:ascii="仿宋" w:hAnsi="仿宋" w:eastAsia="仿宋"/>
          <w:sz w:val="32"/>
          <w:szCs w:val="32"/>
        </w:rPr>
        <w:t>政府委托对重大经济和技术政策、发展规划以及重大经济开发计划进行环境影响评价，对涉及环境保护的地方规范性文件提出有关环境影响方面的意见：按国家和省规定审批重大开发建设区域、项目环境影响评价文件。</w:t>
      </w:r>
    </w:p>
    <w:p>
      <w:pPr>
        <w:spacing w:line="500" w:lineRule="exact"/>
        <w:ind w:firstLine="640" w:firstLineChars="200"/>
        <w:jc w:val="left"/>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负责环境污染防治的监督管理。制定水体、大气、土壤、噪声、光、恶臭、固体废物、化学品、机动车等的污染防治管理制度并组织实施，会同有关部门监督管理饮用水水源地环境保护工作，组织指导城镇和农村的环境综合整治工作。组织全</w:t>
      </w:r>
      <w:r>
        <w:rPr>
          <w:rFonts w:hint="eastAsia" w:ascii="仿宋" w:hAnsi="仿宋" w:eastAsia="仿宋"/>
          <w:sz w:val="32"/>
          <w:szCs w:val="32"/>
          <w:lang w:eastAsia="zh-CN"/>
        </w:rPr>
        <w:t>县</w:t>
      </w:r>
      <w:r>
        <w:rPr>
          <w:rFonts w:hint="eastAsia" w:ascii="仿宋" w:hAnsi="仿宋" w:eastAsia="仿宋"/>
          <w:sz w:val="32"/>
          <w:szCs w:val="32"/>
        </w:rPr>
        <w:t>主要河流跨县</w:t>
      </w:r>
      <w:r>
        <w:rPr>
          <w:rFonts w:ascii="仿宋" w:hAnsi="仿宋" w:eastAsia="仿宋"/>
          <w:sz w:val="32"/>
          <w:szCs w:val="32"/>
        </w:rPr>
        <w:t>(</w:t>
      </w:r>
      <w:r>
        <w:rPr>
          <w:rFonts w:hint="eastAsia" w:ascii="仿宋" w:hAnsi="仿宋" w:eastAsia="仿宋"/>
          <w:sz w:val="32"/>
          <w:szCs w:val="32"/>
        </w:rPr>
        <w:t>区</w:t>
      </w:r>
      <w:r>
        <w:rPr>
          <w:rFonts w:ascii="仿宋" w:hAnsi="仿宋" w:eastAsia="仿宋"/>
          <w:sz w:val="32"/>
          <w:szCs w:val="32"/>
        </w:rPr>
        <w:t>)</w:t>
      </w:r>
      <w:r>
        <w:rPr>
          <w:rFonts w:hint="eastAsia" w:ascii="仿宋" w:hAnsi="仿宋" w:eastAsia="仿宋"/>
          <w:sz w:val="32"/>
          <w:szCs w:val="32"/>
        </w:rPr>
        <w:t>界的断面水质目标责任考核。</w:t>
      </w:r>
    </w:p>
    <w:p>
      <w:pPr>
        <w:spacing w:line="500" w:lineRule="exact"/>
        <w:ind w:firstLine="640" w:firstLineChars="200"/>
        <w:jc w:val="left"/>
        <w:rPr>
          <w:rFonts w:ascii="仿宋" w:hAnsi="仿宋" w:eastAsia="仿宋"/>
          <w:sz w:val="32"/>
          <w:szCs w:val="32"/>
        </w:rPr>
      </w:pPr>
      <w:r>
        <w:rPr>
          <w:rFonts w:ascii="仿宋" w:hAnsi="仿宋" w:eastAsia="仿宋"/>
          <w:sz w:val="32"/>
          <w:szCs w:val="32"/>
        </w:rPr>
        <w:t xml:space="preserve"> 7</w:t>
      </w:r>
      <w:r>
        <w:rPr>
          <w:rFonts w:hint="eastAsia" w:ascii="仿宋" w:hAnsi="仿宋" w:eastAsia="仿宋"/>
          <w:sz w:val="32"/>
          <w:szCs w:val="32"/>
        </w:rPr>
        <w:t>、指导、协调、监督生态保护工作。拟订生态保护规划，组织评估生态环境质量状况，监督对生态环境有影响的自然资源开发利用活动、重要生态环境建设和生态破坏恢复工作。指导、协调、监督各种类型的自然保护区、风景名胜区、森林公园的环境保护工作，协调和监督野生动植物保护、湿地环境保护、荒漠化防治工作。协调指导农村生态环境保护，监督生物技术环境安全，牵头生物物种</w:t>
      </w:r>
      <w:r>
        <w:rPr>
          <w:rFonts w:ascii="仿宋" w:hAnsi="仿宋" w:eastAsia="仿宋"/>
          <w:sz w:val="32"/>
          <w:szCs w:val="32"/>
        </w:rPr>
        <w:t>(</w:t>
      </w:r>
      <w:r>
        <w:rPr>
          <w:rFonts w:hint="eastAsia" w:ascii="仿宋" w:hAnsi="仿宋" w:eastAsia="仿宋"/>
          <w:sz w:val="32"/>
          <w:szCs w:val="32"/>
        </w:rPr>
        <w:t>含遗传资源</w:t>
      </w:r>
      <w:r>
        <w:rPr>
          <w:rFonts w:ascii="仿宋" w:hAnsi="仿宋" w:eastAsia="仿宋"/>
          <w:sz w:val="32"/>
          <w:szCs w:val="32"/>
        </w:rPr>
        <w:t>)</w:t>
      </w:r>
      <w:r>
        <w:rPr>
          <w:rFonts w:hint="eastAsia" w:ascii="仿宋" w:hAnsi="仿宋" w:eastAsia="仿宋"/>
          <w:sz w:val="32"/>
          <w:szCs w:val="32"/>
        </w:rPr>
        <w:t>工作，组织协调生物多样性保护。</w:t>
      </w:r>
    </w:p>
    <w:p>
      <w:pPr>
        <w:spacing w:line="500" w:lineRule="exact"/>
        <w:ind w:firstLine="640" w:firstLineChars="200"/>
        <w:jc w:val="left"/>
        <w:rPr>
          <w:rFonts w:ascii="仿宋" w:hAnsi="仿宋" w:eastAsia="仿宋"/>
          <w:sz w:val="32"/>
          <w:szCs w:val="32"/>
        </w:rPr>
      </w:pPr>
      <w:r>
        <w:rPr>
          <w:rFonts w:ascii="仿宋" w:hAnsi="仿宋" w:eastAsia="仿宋"/>
          <w:sz w:val="32"/>
          <w:szCs w:val="32"/>
        </w:rPr>
        <w:t>8</w:t>
      </w:r>
      <w:r>
        <w:rPr>
          <w:rFonts w:hint="eastAsia" w:ascii="仿宋" w:hAnsi="仿宋" w:eastAsia="仿宋"/>
          <w:sz w:val="32"/>
          <w:szCs w:val="32"/>
        </w:rPr>
        <w:t>、负责核与辐射安全的监督管理。拟订有关政策、规划、标准，参与核事故应急处理，负责辐射环境事故应急处理工作。监督管理核设施安全、放射源安全，监督管理核设施、核技术应用、电磁辐射、伴有放射性矿产资源开发利用中的污染防治。对核材料的管制和民用核安全设备的设计、制造、安装和无损检验活动实施监督管理。</w:t>
      </w:r>
    </w:p>
    <w:p>
      <w:pPr>
        <w:spacing w:line="500" w:lineRule="exact"/>
        <w:ind w:firstLine="640" w:firstLineChars="200"/>
        <w:jc w:val="left"/>
        <w:rPr>
          <w:rFonts w:ascii="仿宋" w:hAnsi="仿宋" w:eastAsia="仿宋"/>
          <w:sz w:val="32"/>
          <w:szCs w:val="32"/>
        </w:rPr>
      </w:pPr>
      <w:r>
        <w:rPr>
          <w:rFonts w:ascii="仿宋" w:hAnsi="仿宋" w:eastAsia="仿宋"/>
          <w:sz w:val="32"/>
          <w:szCs w:val="32"/>
        </w:rPr>
        <w:t>9</w:t>
      </w:r>
      <w:r>
        <w:rPr>
          <w:rFonts w:hint="eastAsia" w:ascii="仿宋" w:hAnsi="仿宋" w:eastAsia="仿宋"/>
          <w:sz w:val="32"/>
          <w:szCs w:val="32"/>
        </w:rPr>
        <w:t>、负责环境监测和信息发布。制定环境监测制度和规范，组织实施环境质量监测和污染源监督性监测。组织对环境质量状况进行调查评估、预测预警，组织建设和管理</w:t>
      </w:r>
      <w:r>
        <w:rPr>
          <w:rFonts w:hint="eastAsia" w:ascii="仿宋" w:hAnsi="仿宋" w:eastAsia="仿宋"/>
          <w:sz w:val="32"/>
          <w:szCs w:val="32"/>
          <w:lang w:eastAsia="zh-CN"/>
        </w:rPr>
        <w:t>县</w:t>
      </w:r>
      <w:r>
        <w:rPr>
          <w:rFonts w:hint="eastAsia" w:ascii="仿宋" w:hAnsi="仿宋" w:eastAsia="仿宋"/>
          <w:sz w:val="32"/>
          <w:szCs w:val="32"/>
        </w:rPr>
        <w:t>级环境监测网和全</w:t>
      </w:r>
      <w:r>
        <w:rPr>
          <w:rFonts w:hint="eastAsia" w:ascii="仿宋" w:hAnsi="仿宋" w:eastAsia="仿宋"/>
          <w:sz w:val="32"/>
          <w:szCs w:val="32"/>
          <w:lang w:eastAsia="zh-CN"/>
        </w:rPr>
        <w:t>县</w:t>
      </w:r>
      <w:r>
        <w:rPr>
          <w:rFonts w:hint="eastAsia" w:ascii="仿宋" w:hAnsi="仿宋" w:eastAsia="仿宋"/>
          <w:sz w:val="32"/>
          <w:szCs w:val="32"/>
        </w:rPr>
        <w:t>环境信息网，建立和实行环境质量公告制度，统一发布全</w:t>
      </w:r>
      <w:r>
        <w:rPr>
          <w:rFonts w:hint="eastAsia" w:ascii="仿宋" w:hAnsi="仿宋" w:eastAsia="仿宋"/>
          <w:sz w:val="32"/>
          <w:szCs w:val="32"/>
          <w:lang w:eastAsia="zh-CN"/>
        </w:rPr>
        <w:t>县</w:t>
      </w:r>
      <w:r>
        <w:rPr>
          <w:rFonts w:hint="eastAsia" w:ascii="仿宋" w:hAnsi="仿宋" w:eastAsia="仿宋"/>
          <w:sz w:val="32"/>
          <w:szCs w:val="32"/>
        </w:rPr>
        <w:t>环境综合性报告、年度环境状况公报和重大环境信息。</w:t>
      </w:r>
    </w:p>
    <w:p>
      <w:pPr>
        <w:spacing w:line="500" w:lineRule="exact"/>
        <w:ind w:firstLine="320" w:firstLineChars="100"/>
        <w:jc w:val="left"/>
        <w:rPr>
          <w:rFonts w:ascii="仿宋" w:hAnsi="仿宋" w:eastAsia="仿宋"/>
          <w:sz w:val="32"/>
          <w:szCs w:val="32"/>
        </w:rPr>
      </w:pPr>
      <w:r>
        <w:rPr>
          <w:rFonts w:ascii="仿宋" w:hAnsi="仿宋" w:eastAsia="仿宋"/>
          <w:sz w:val="32"/>
          <w:szCs w:val="32"/>
        </w:rPr>
        <w:t xml:space="preserve"> 10</w:t>
      </w:r>
      <w:r>
        <w:rPr>
          <w:rFonts w:hint="eastAsia" w:ascii="仿宋" w:hAnsi="仿宋" w:eastAsia="仿宋"/>
          <w:sz w:val="32"/>
          <w:szCs w:val="32"/>
        </w:rPr>
        <w:t>、负责落实全</w:t>
      </w:r>
      <w:r>
        <w:rPr>
          <w:rFonts w:hint="eastAsia" w:ascii="仿宋" w:hAnsi="仿宋" w:eastAsia="仿宋"/>
          <w:sz w:val="32"/>
          <w:szCs w:val="32"/>
          <w:lang w:eastAsia="zh-CN"/>
        </w:rPr>
        <w:t>县</w:t>
      </w:r>
      <w:r>
        <w:rPr>
          <w:rFonts w:hint="eastAsia" w:ascii="仿宋" w:hAnsi="仿宋" w:eastAsia="仿宋"/>
          <w:sz w:val="32"/>
          <w:szCs w:val="32"/>
        </w:rPr>
        <w:t>生态</w:t>
      </w:r>
      <w:r>
        <w:rPr>
          <w:rFonts w:hint="eastAsia" w:ascii="仿宋" w:hAnsi="仿宋" w:eastAsia="仿宋"/>
          <w:sz w:val="32"/>
          <w:szCs w:val="32"/>
          <w:lang w:eastAsia="zh-CN"/>
        </w:rPr>
        <w:t>县</w:t>
      </w:r>
      <w:r>
        <w:rPr>
          <w:rFonts w:hint="eastAsia" w:ascii="仿宋" w:hAnsi="仿宋" w:eastAsia="仿宋"/>
          <w:sz w:val="32"/>
          <w:szCs w:val="32"/>
        </w:rPr>
        <w:t>创建目标责任制。承担《唐山</w:t>
      </w:r>
    </w:p>
    <w:p>
      <w:pPr>
        <w:spacing w:line="500" w:lineRule="exact"/>
        <w:jc w:val="left"/>
        <w:rPr>
          <w:rFonts w:ascii="仿宋" w:hAnsi="仿宋" w:eastAsia="仿宋"/>
          <w:sz w:val="32"/>
          <w:szCs w:val="32"/>
        </w:rPr>
      </w:pPr>
      <w:r>
        <w:rPr>
          <w:rFonts w:hint="eastAsia" w:ascii="仿宋" w:hAnsi="仿宋" w:eastAsia="仿宋"/>
          <w:sz w:val="32"/>
          <w:szCs w:val="32"/>
        </w:rPr>
        <w:t>生态</w:t>
      </w:r>
      <w:r>
        <w:rPr>
          <w:rFonts w:hint="eastAsia" w:ascii="仿宋" w:hAnsi="仿宋" w:eastAsia="仿宋"/>
          <w:sz w:val="32"/>
          <w:szCs w:val="32"/>
          <w:lang w:eastAsia="zh-CN"/>
        </w:rPr>
        <w:t>县</w:t>
      </w:r>
      <w:r>
        <w:rPr>
          <w:rFonts w:hint="eastAsia" w:ascii="仿宋" w:hAnsi="仿宋" w:eastAsia="仿宋"/>
          <w:sz w:val="32"/>
          <w:szCs w:val="32"/>
        </w:rPr>
        <w:t>建设规划》</w:t>
      </w:r>
      <w:r>
        <w:rPr>
          <w:rFonts w:ascii="仿宋" w:hAnsi="仿宋" w:eastAsia="仿宋"/>
          <w:sz w:val="32"/>
          <w:szCs w:val="32"/>
        </w:rPr>
        <w:t>(</w:t>
      </w:r>
      <w:r>
        <w:rPr>
          <w:rFonts w:hint="eastAsia" w:ascii="仿宋" w:hAnsi="仿宋" w:eastAsia="仿宋"/>
          <w:sz w:val="32"/>
          <w:szCs w:val="32"/>
        </w:rPr>
        <w:t>规划期</w:t>
      </w:r>
      <w:r>
        <w:rPr>
          <w:rFonts w:ascii="仿宋" w:hAnsi="仿宋" w:eastAsia="仿宋"/>
          <w:sz w:val="32"/>
          <w:szCs w:val="32"/>
        </w:rPr>
        <w:t>15</w:t>
      </w:r>
      <w:r>
        <w:rPr>
          <w:rFonts w:hint="eastAsia" w:ascii="仿宋" w:hAnsi="仿宋" w:eastAsia="仿宋"/>
          <w:sz w:val="32"/>
          <w:szCs w:val="32"/>
        </w:rPr>
        <w:t>年</w:t>
      </w:r>
      <w:r>
        <w:rPr>
          <w:rFonts w:ascii="仿宋" w:hAnsi="仿宋" w:eastAsia="仿宋"/>
          <w:sz w:val="32"/>
          <w:szCs w:val="32"/>
        </w:rPr>
        <w:t>)</w:t>
      </w:r>
      <w:r>
        <w:rPr>
          <w:rFonts w:hint="eastAsia" w:ascii="仿宋" w:hAnsi="仿宋" w:eastAsia="仿宋"/>
          <w:sz w:val="32"/>
          <w:szCs w:val="32"/>
        </w:rPr>
        <w:t>创建规划的拟订、修订和实施工作。</w:t>
      </w:r>
    </w:p>
    <w:p>
      <w:pPr>
        <w:spacing w:line="500" w:lineRule="exact"/>
        <w:ind w:firstLine="640" w:firstLineChars="200"/>
        <w:jc w:val="left"/>
        <w:rPr>
          <w:rFonts w:ascii="仿宋" w:hAnsi="仿宋" w:eastAsia="仿宋"/>
          <w:sz w:val="32"/>
          <w:szCs w:val="32"/>
        </w:rPr>
      </w:pPr>
      <w:r>
        <w:rPr>
          <w:rFonts w:ascii="仿宋" w:hAnsi="仿宋" w:eastAsia="仿宋"/>
          <w:sz w:val="32"/>
          <w:szCs w:val="32"/>
        </w:rPr>
        <w:t>11</w:t>
      </w:r>
      <w:r>
        <w:rPr>
          <w:rFonts w:hint="eastAsia" w:ascii="仿宋" w:hAnsi="仿宋" w:eastAsia="仿宋"/>
          <w:sz w:val="32"/>
          <w:szCs w:val="32"/>
        </w:rPr>
        <w:t>、开展环境保护科技工作，组织环境保护科学研究和技术工程示范，推动环境技术管理体系建设。</w:t>
      </w:r>
    </w:p>
    <w:p>
      <w:pPr>
        <w:spacing w:line="500" w:lineRule="exact"/>
        <w:ind w:firstLine="640" w:firstLineChars="200"/>
        <w:jc w:val="left"/>
        <w:rPr>
          <w:rFonts w:ascii="仿宋" w:hAnsi="仿宋" w:eastAsia="仿宋"/>
          <w:sz w:val="32"/>
          <w:szCs w:val="32"/>
        </w:rPr>
      </w:pPr>
      <w:r>
        <w:rPr>
          <w:rFonts w:ascii="仿宋" w:hAnsi="仿宋" w:eastAsia="仿宋"/>
          <w:sz w:val="32"/>
          <w:szCs w:val="32"/>
        </w:rPr>
        <w:t>12</w:t>
      </w:r>
      <w:r>
        <w:rPr>
          <w:rFonts w:hint="eastAsia" w:ascii="仿宋" w:hAnsi="仿宋" w:eastAsia="仿宋"/>
          <w:sz w:val="32"/>
          <w:szCs w:val="32"/>
        </w:rPr>
        <w:t>、开展环境保护对外合作交流，研究提出国际、省际、</w:t>
      </w:r>
      <w:r>
        <w:rPr>
          <w:rFonts w:hint="eastAsia" w:ascii="仿宋" w:hAnsi="仿宋" w:eastAsia="仿宋"/>
          <w:sz w:val="32"/>
          <w:szCs w:val="32"/>
          <w:lang w:eastAsia="zh-CN"/>
        </w:rPr>
        <w:t>县</w:t>
      </w:r>
      <w:r>
        <w:rPr>
          <w:rFonts w:hint="eastAsia" w:ascii="仿宋" w:hAnsi="仿宋" w:eastAsia="仿宋"/>
          <w:sz w:val="32"/>
          <w:szCs w:val="32"/>
        </w:rPr>
        <w:t>际间环境合作中有关问题的建议，组织协调环境保护国际条约的履约工作，参与处理涉外环境保护事务。</w:t>
      </w:r>
    </w:p>
    <w:p>
      <w:pPr>
        <w:spacing w:line="600" w:lineRule="exact"/>
        <w:ind w:firstLine="640"/>
        <w:rPr>
          <w:rFonts w:hint="default" w:ascii="仿宋" w:hAnsi="仿宋" w:eastAsia="仿宋"/>
          <w:sz w:val="32"/>
          <w:szCs w:val="32"/>
          <w:lang w:val="en-US" w:eastAsia="zh-CN"/>
        </w:rPr>
      </w:pPr>
      <w:r>
        <w:rPr>
          <w:rFonts w:ascii="仿宋" w:hAnsi="仿宋" w:eastAsia="仿宋"/>
          <w:sz w:val="32"/>
          <w:szCs w:val="32"/>
        </w:rPr>
        <w:t>13</w:t>
      </w:r>
      <w:r>
        <w:rPr>
          <w:rFonts w:hint="eastAsia" w:ascii="仿宋" w:hAnsi="仿宋" w:eastAsia="仿宋"/>
          <w:sz w:val="32"/>
          <w:szCs w:val="32"/>
        </w:rPr>
        <w:t>、组织指导和协调环境保护宣传教育工作，制定并组织实施环境保护宣传教育纲要，开展生态文明建设和环境友好型社会建设的有关宣传教育工作，推动社会公众和社会组织参与环境保护。</w:t>
      </w:r>
    </w:p>
    <w:p>
      <w:pPr>
        <w:numPr>
          <w:ilvl w:val="0"/>
          <w:numId w:val="1"/>
        </w:numPr>
        <w:spacing w:line="600" w:lineRule="exact"/>
        <w:ind w:left="0" w:leftChars="0" w:firstLine="602" w:firstLineChars="200"/>
        <w:rPr>
          <w:rFonts w:hint="eastAsia" w:ascii="仿宋" w:hAnsi="仿宋" w:eastAsia="仿宋" w:cs="仿宋"/>
          <w:b/>
          <w:bCs/>
        </w:rPr>
      </w:pPr>
      <w:r>
        <w:rPr>
          <w:rFonts w:hint="eastAsia" w:ascii="仿宋" w:hAnsi="仿宋" w:eastAsia="仿宋" w:cs="仿宋"/>
          <w:b/>
          <w:bCs/>
        </w:rPr>
        <w:t>绩效评价工作开展情况</w:t>
      </w:r>
      <w:bookmarkEnd w:id="21"/>
    </w:p>
    <w:p>
      <w:pPr>
        <w:spacing w:line="540" w:lineRule="exact"/>
        <w:ind w:firstLine="640" w:firstLineChars="200"/>
        <w:rPr>
          <w:rFonts w:hint="eastAsia" w:ascii="仿宋" w:hAnsi="仿宋" w:eastAsia="仿宋" w:cs="仿宋"/>
          <w:b/>
          <w:bCs/>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p>
    <w:p>
      <w:pPr>
        <w:numPr>
          <w:ilvl w:val="0"/>
          <w:numId w:val="2"/>
        </w:numPr>
        <w:spacing w:line="540" w:lineRule="exact"/>
        <w:ind w:left="480" w:leftChars="0" w:firstLine="0" w:firstLineChars="0"/>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spacing w:line="600" w:lineRule="exact"/>
        <w:ind w:firstLine="600" w:firstLineChars="200"/>
        <w:rPr>
          <w:rFonts w:hint="eastAsia" w:ascii="仿宋" w:hAnsi="仿宋" w:eastAsia="仿宋" w:cs="仿宋"/>
        </w:rPr>
      </w:pPr>
      <w:r>
        <w:rPr>
          <w:rFonts w:hint="eastAsia" w:ascii="仿宋" w:hAnsi="仿宋" w:eastAsia="仿宋" w:cs="仿宋"/>
        </w:rPr>
        <w:t>财政资金重点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numPr>
          <w:ilvl w:val="0"/>
          <w:numId w:val="3"/>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本次绩效评价的局限性</w:t>
      </w:r>
      <w:bookmarkEnd w:id="25"/>
    </w:p>
    <w:p>
      <w:pPr>
        <w:spacing w:line="600" w:lineRule="exact"/>
        <w:ind w:firstLine="600" w:firstLineChars="200"/>
        <w:rPr>
          <w:rFonts w:ascii="仿宋" w:hAnsi="仿宋" w:eastAsia="仿宋" w:cs="仿宋"/>
        </w:rPr>
      </w:pPr>
      <w:r>
        <w:rPr>
          <w:rFonts w:hint="eastAsia" w:ascii="仿宋" w:hAnsi="仿宋" w:eastAsia="仿宋" w:cs="仿宋"/>
        </w:rPr>
        <w:t>1</w:t>
      </w:r>
      <w:r>
        <w:rPr>
          <w:rFonts w:hint="eastAsia" w:ascii="仿宋" w:hAnsi="仿宋" w:eastAsia="仿宋" w:cs="仿宋"/>
          <w:lang w:val="en-US" w:eastAsia="zh-CN"/>
        </w:rPr>
        <w:t>.</w:t>
      </w:r>
      <w:r>
        <w:rPr>
          <w:rFonts w:hint="eastAsia" w:ascii="仿宋" w:hAnsi="仿宋" w:eastAsia="仿宋" w:cs="仿宋"/>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spacing w:line="600" w:lineRule="exact"/>
        <w:ind w:firstLine="600" w:firstLineChars="200"/>
        <w:rPr>
          <w:rFonts w:ascii="仿宋" w:hAnsi="仿宋" w:eastAsia="仿宋" w:cs="仿宋"/>
        </w:rPr>
      </w:pPr>
      <w:r>
        <w:rPr>
          <w:rFonts w:hint="eastAsia" w:ascii="仿宋" w:hAnsi="仿宋" w:eastAsia="仿宋" w:cs="仿宋"/>
        </w:rPr>
        <w:t>2. 由于工作性质的特殊性，从而项目的经济效益、社会效益的评价无法定量估计。</w:t>
      </w:r>
    </w:p>
    <w:p>
      <w:pPr>
        <w:spacing w:line="600" w:lineRule="exact"/>
        <w:ind w:firstLine="600" w:firstLineChars="200"/>
        <w:rPr>
          <w:rFonts w:hint="eastAsia" w:ascii="仿宋" w:hAnsi="仿宋" w:eastAsia="仿宋" w:cs="仿宋"/>
        </w:rPr>
      </w:pPr>
      <w:r>
        <w:rPr>
          <w:rFonts w:hint="eastAsia" w:ascii="仿宋" w:hAnsi="仿宋" w:eastAsia="仿宋" w:cs="仿宋"/>
        </w:rPr>
        <w:t>3. 绩效评价工作处在初步推广阶段，部分部门和人员对其认识有些尚浅，在资料提供与准备方面尚缺经验，一定程度上影响了工作效率。</w:t>
      </w:r>
      <w:bookmarkStart w:id="26" w:name="_Toc22655_WPSOffice_Level1"/>
    </w:p>
    <w:p>
      <w:pPr>
        <w:spacing w:line="600" w:lineRule="exact"/>
        <w:ind w:firstLine="600" w:firstLineChars="200"/>
        <w:rPr>
          <w:rFonts w:hint="eastAsia" w:ascii="仿宋" w:hAnsi="仿宋" w:eastAsia="仿宋" w:cs="仿宋"/>
          <w:lang w:eastAsia="zh-CN"/>
        </w:rPr>
      </w:pPr>
    </w:p>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adjustRightInd w:val="0"/>
        <w:snapToGrid w:val="0"/>
        <w:spacing w:line="600" w:lineRule="exact"/>
        <w:ind w:firstLine="482"/>
        <w:rPr>
          <w:rFonts w:hint="eastAsia" w:ascii="仿宋" w:hAnsi="仿宋" w:eastAsia="仿宋" w:cs="仿宋"/>
          <w:lang w:eastAsia="zh-CN"/>
        </w:rPr>
      </w:pPr>
      <w:bookmarkStart w:id="28" w:name="_Toc22094_WPSOffice_Level2"/>
      <w:r>
        <w:rPr>
          <w:rFonts w:hint="eastAsia" w:ascii="仿宋_GB2312"/>
          <w:sz w:val="32"/>
          <w:szCs w:val="32"/>
        </w:rPr>
        <w:t>依据省</w:t>
      </w:r>
      <w:r>
        <w:rPr>
          <w:rFonts w:hint="eastAsia" w:ascii="仿宋_GB2312"/>
          <w:sz w:val="32"/>
          <w:szCs w:val="32"/>
          <w:lang w:eastAsia="zh-CN"/>
        </w:rPr>
        <w:t>县</w:t>
      </w:r>
      <w:r>
        <w:rPr>
          <w:rFonts w:hint="eastAsia" w:ascii="仿宋_GB2312"/>
          <w:sz w:val="32"/>
          <w:szCs w:val="32"/>
        </w:rPr>
        <w:t>文件精神和县委、县政府文件要求，该项目属于财政事权范围，具有现实紧迫性、战略前瞻性，相同或相近领域无用途相似的预算安排，具有不可替代性。</w:t>
      </w:r>
    </w:p>
    <w:p>
      <w:pPr>
        <w:numPr>
          <w:ilvl w:val="0"/>
          <w:numId w:val="4"/>
        </w:num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项目总体绩效目标</w:t>
      </w:r>
      <w:bookmarkEnd w:id="28"/>
    </w:p>
    <w:p>
      <w:pPr>
        <w:spacing w:line="500" w:lineRule="exact"/>
        <w:ind w:firstLine="640" w:firstLineChars="200"/>
        <w:jc w:val="left"/>
        <w:rPr>
          <w:rFonts w:hint="eastAsia" w:ascii="仿宋" w:hAnsi="仿宋" w:eastAsia="仿宋" w:cs="仿宋"/>
          <w:lang w:eastAsia="zh-CN"/>
        </w:rPr>
      </w:pPr>
      <w:r>
        <w:rPr>
          <w:rFonts w:hint="eastAsia" w:ascii="仿宋" w:hAnsi="仿宋" w:eastAsia="仿宋"/>
          <w:sz w:val="32"/>
          <w:szCs w:val="32"/>
        </w:rPr>
        <w:t>负责建立健全环境保护基本制度。拟订并组织实施全</w:t>
      </w:r>
      <w:r>
        <w:rPr>
          <w:rFonts w:hint="eastAsia" w:ascii="仿宋" w:hAnsi="仿宋" w:eastAsia="仿宋"/>
          <w:sz w:val="32"/>
          <w:szCs w:val="32"/>
          <w:lang w:eastAsia="zh-CN"/>
        </w:rPr>
        <w:t>县</w:t>
      </w:r>
      <w:r>
        <w:rPr>
          <w:rFonts w:hint="eastAsia" w:ascii="仿宋" w:hAnsi="仿宋" w:eastAsia="仿宋"/>
          <w:sz w:val="32"/>
          <w:szCs w:val="32"/>
        </w:rPr>
        <w:t>环境保护政策、规划，起草地方规范性文件草案。组织编制环境功能区划，组织制定环境保护地方性标准、基准和技术规范，组织拟订并监督实施重点区域、流域污染防治规划和饮用水水源地环境保护规划，参与制定全</w:t>
      </w:r>
      <w:r>
        <w:rPr>
          <w:rFonts w:hint="eastAsia" w:ascii="仿宋" w:hAnsi="仿宋" w:eastAsia="仿宋"/>
          <w:sz w:val="32"/>
          <w:szCs w:val="32"/>
          <w:lang w:eastAsia="zh-CN"/>
        </w:rPr>
        <w:t>县</w:t>
      </w:r>
      <w:r>
        <w:rPr>
          <w:rFonts w:hint="eastAsia" w:ascii="仿宋" w:hAnsi="仿宋" w:eastAsia="仿宋"/>
          <w:sz w:val="32"/>
          <w:szCs w:val="32"/>
        </w:rPr>
        <w:t>主体功能区划。</w:t>
      </w:r>
    </w:p>
    <w:p>
      <w:pPr>
        <w:spacing w:line="600" w:lineRule="exact"/>
        <w:ind w:firstLine="600" w:firstLineChars="200"/>
        <w:outlineLvl w:val="0"/>
        <w:rPr>
          <w:rFonts w:hint="eastAsia" w:ascii="仿宋" w:hAnsi="仿宋" w:eastAsia="仿宋" w:cs="仿宋"/>
          <w:lang w:eastAsia="zh-CN"/>
        </w:rPr>
      </w:pPr>
      <w:bookmarkStart w:id="29" w:name="_Toc18801_WPSOffice_Level2"/>
      <w:r>
        <w:rPr>
          <w:rFonts w:hint="eastAsia" w:ascii="仿宋" w:hAnsi="仿宋" w:eastAsia="仿宋" w:cs="仿宋"/>
          <w:lang w:eastAsia="zh-CN"/>
        </w:rPr>
        <w:t>（三）项目分项绩效目标</w:t>
      </w:r>
      <w:bookmarkEnd w:id="29"/>
    </w:p>
    <w:p>
      <w:pPr>
        <w:spacing w:line="500" w:lineRule="exact"/>
        <w:ind w:firstLine="640" w:firstLineChars="200"/>
        <w:jc w:val="left"/>
        <w:rPr>
          <w:rFonts w:hint="eastAsia" w:ascii="仿宋" w:hAnsi="仿宋" w:eastAsia="仿宋"/>
          <w:sz w:val="32"/>
          <w:szCs w:val="32"/>
          <w:lang w:eastAsia="zh-CN"/>
        </w:rPr>
      </w:pPr>
      <w:bookmarkStart w:id="30" w:name="_Toc14430_WPSOffice_Level1"/>
      <w:r>
        <w:rPr>
          <w:rFonts w:hint="eastAsia" w:ascii="仿宋" w:hAnsi="仿宋" w:eastAsia="仿宋"/>
          <w:sz w:val="32"/>
          <w:szCs w:val="32"/>
        </w:rPr>
        <w:t>负责环境监测和信息发布。制定环境监测制度和规范，组织实施环境质量监测和污染源监督性监测。组织对环境质量状况进行调查评估、预测预警，组织建设和管理</w:t>
      </w:r>
      <w:r>
        <w:rPr>
          <w:rFonts w:hint="eastAsia" w:ascii="仿宋" w:hAnsi="仿宋" w:eastAsia="仿宋"/>
          <w:sz w:val="32"/>
          <w:szCs w:val="32"/>
          <w:lang w:eastAsia="zh-CN"/>
        </w:rPr>
        <w:t>县</w:t>
      </w:r>
      <w:r>
        <w:rPr>
          <w:rFonts w:hint="eastAsia" w:ascii="仿宋" w:hAnsi="仿宋" w:eastAsia="仿宋"/>
          <w:sz w:val="32"/>
          <w:szCs w:val="32"/>
        </w:rPr>
        <w:t>级环境监测网和全</w:t>
      </w:r>
      <w:r>
        <w:rPr>
          <w:rFonts w:hint="eastAsia" w:ascii="仿宋" w:hAnsi="仿宋" w:eastAsia="仿宋"/>
          <w:sz w:val="32"/>
          <w:szCs w:val="32"/>
          <w:lang w:eastAsia="zh-CN"/>
        </w:rPr>
        <w:t>县</w:t>
      </w:r>
      <w:r>
        <w:rPr>
          <w:rFonts w:hint="eastAsia" w:ascii="仿宋" w:hAnsi="仿宋" w:eastAsia="仿宋"/>
          <w:sz w:val="32"/>
          <w:szCs w:val="32"/>
        </w:rPr>
        <w:t>环境信息网，建立和实行环境质量公告制度，统一发布全</w:t>
      </w:r>
      <w:r>
        <w:rPr>
          <w:rFonts w:hint="eastAsia" w:ascii="仿宋" w:hAnsi="仿宋" w:eastAsia="仿宋"/>
          <w:sz w:val="32"/>
          <w:szCs w:val="32"/>
          <w:lang w:eastAsia="zh-CN"/>
        </w:rPr>
        <w:t>县</w:t>
      </w:r>
      <w:r>
        <w:rPr>
          <w:rFonts w:hint="eastAsia" w:ascii="仿宋" w:hAnsi="仿宋" w:eastAsia="仿宋"/>
          <w:sz w:val="32"/>
          <w:szCs w:val="32"/>
        </w:rPr>
        <w:t>环境综合性报告、年度环境状况公报和重大环境信息。</w:t>
      </w:r>
    </w:p>
    <w:p>
      <w:pPr>
        <w:numPr>
          <w:ilvl w:val="0"/>
          <w:numId w:val="1"/>
        </w:numPr>
        <w:spacing w:line="600" w:lineRule="exact"/>
        <w:ind w:left="0" w:leftChars="0" w:firstLine="600" w:firstLineChars="200"/>
        <w:rPr>
          <w:rFonts w:hint="eastAsia" w:ascii="仿宋" w:hAnsi="仿宋" w:eastAsia="仿宋" w:cs="仿宋"/>
          <w:lang w:eastAsia="zh-CN"/>
        </w:rPr>
      </w:pPr>
      <w:r>
        <w:rPr>
          <w:rFonts w:hint="eastAsia" w:ascii="仿宋" w:hAnsi="仿宋" w:eastAsia="仿宋" w:cs="仿宋"/>
          <w:lang w:eastAsia="zh-CN"/>
        </w:rPr>
        <w:t>项目基本情况</w:t>
      </w:r>
      <w:bookmarkEnd w:id="30"/>
    </w:p>
    <w:p>
      <w:pPr>
        <w:spacing w:line="600" w:lineRule="exact"/>
        <w:ind w:firstLine="600" w:firstLineChars="200"/>
        <w:outlineLvl w:val="0"/>
        <w:rPr>
          <w:rFonts w:hint="eastAsia" w:ascii="仿宋" w:hAnsi="仿宋" w:eastAsia="仿宋" w:cs="仿宋"/>
          <w:highlight w:val="yellow"/>
          <w:lang w:eastAsia="zh-CN"/>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项目决策整体得分</w:t>
      </w:r>
      <w:r>
        <w:rPr>
          <w:rFonts w:hint="eastAsia" w:ascii="仿宋" w:hAnsi="仿宋" w:eastAsia="仿宋" w:cs="仿宋"/>
          <w:sz w:val="32"/>
          <w:szCs w:val="32"/>
          <w:lang w:val="en-US" w:eastAsia="zh-CN"/>
        </w:rPr>
        <w:t>43分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其中项目立项单位得分</w:t>
      </w:r>
      <w:r>
        <w:rPr>
          <w:rFonts w:hint="eastAsia" w:ascii="仿宋" w:hAnsi="仿宋" w:eastAsia="仿宋" w:cs="仿宋"/>
          <w:sz w:val="32"/>
          <w:szCs w:val="32"/>
          <w:lang w:val="en-US" w:eastAsia="zh-CN"/>
        </w:rPr>
        <w:t>15分</w:t>
      </w:r>
      <w:r>
        <w:rPr>
          <w:rFonts w:hint="eastAsia" w:ascii="仿宋" w:hAnsi="仿宋" w:eastAsia="仿宋" w:cs="仿宋"/>
          <w:sz w:val="32"/>
          <w:szCs w:val="32"/>
        </w:rPr>
        <w:t>。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绩效目标单位得分</w:t>
      </w:r>
      <w:r>
        <w:rPr>
          <w:rFonts w:hint="eastAsia" w:ascii="仿宋" w:hAnsi="仿宋" w:eastAsia="仿宋" w:cs="仿宋"/>
          <w:sz w:val="32"/>
          <w:szCs w:val="32"/>
          <w:lang w:val="en-US" w:eastAsia="zh-CN"/>
        </w:rPr>
        <w:t>14分</w:t>
      </w:r>
      <w:r>
        <w:rPr>
          <w:rFonts w:hint="eastAsia" w:ascii="仿宋" w:hAnsi="仿宋" w:eastAsia="仿宋" w:cs="仿宋"/>
          <w:sz w:val="32"/>
          <w:szCs w:val="32"/>
        </w:rPr>
        <w:t>。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资金投入单位得分</w:t>
      </w:r>
      <w:r>
        <w:rPr>
          <w:rFonts w:hint="eastAsia" w:ascii="仿宋" w:hAnsi="仿宋" w:eastAsia="仿宋" w:cs="仿宋"/>
          <w:sz w:val="32"/>
          <w:szCs w:val="32"/>
          <w:lang w:val="en-US" w:eastAsia="zh-CN"/>
        </w:rPr>
        <w:t>14分</w:t>
      </w:r>
      <w:r>
        <w:rPr>
          <w:rFonts w:hint="eastAsia" w:ascii="仿宋" w:hAnsi="仿宋" w:eastAsia="仿宋" w:cs="仿宋"/>
          <w:sz w:val="32"/>
          <w:szCs w:val="32"/>
        </w:rPr>
        <w:t>。预算编制经过科学论证；预算内容与项目内容匹配；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项目过程整体得分</w:t>
      </w:r>
      <w:r>
        <w:rPr>
          <w:rFonts w:hint="eastAsia" w:ascii="仿宋" w:hAnsi="仿宋" w:eastAsia="仿宋" w:cs="仿宋"/>
          <w:sz w:val="32"/>
          <w:szCs w:val="32"/>
          <w:lang w:val="en-US" w:eastAsia="zh-CN"/>
        </w:rPr>
        <w:t>29分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其中：资金管理单位得分</w:t>
      </w:r>
      <w:r>
        <w:rPr>
          <w:rFonts w:hint="eastAsia" w:ascii="仿宋" w:hAnsi="仿宋" w:eastAsia="仿宋" w:cs="仿宋"/>
          <w:sz w:val="32"/>
          <w:szCs w:val="32"/>
          <w:lang w:val="en-US" w:eastAsia="zh-CN"/>
        </w:rPr>
        <w:t>17分</w:t>
      </w:r>
      <w:r>
        <w:rPr>
          <w:rFonts w:hint="eastAsia" w:ascii="仿宋" w:hAnsi="仿宋" w:eastAsia="仿宋" w:cs="仿宋"/>
          <w:sz w:val="32"/>
          <w:szCs w:val="32"/>
        </w:rPr>
        <w:t>。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组织实施单位得分</w:t>
      </w:r>
      <w:r>
        <w:rPr>
          <w:rFonts w:hint="eastAsia" w:ascii="仿宋" w:hAnsi="仿宋" w:eastAsia="仿宋" w:cs="仿宋"/>
          <w:sz w:val="32"/>
          <w:szCs w:val="32"/>
          <w:lang w:val="en-US" w:eastAsia="zh-CN"/>
        </w:rPr>
        <w:t>12分</w:t>
      </w:r>
      <w:r>
        <w:rPr>
          <w:rFonts w:hint="eastAsia" w:ascii="仿宋" w:hAnsi="仿宋" w:eastAsia="仿宋" w:cs="仿宋"/>
          <w:sz w:val="32"/>
          <w:szCs w:val="32"/>
        </w:rPr>
        <w:t>。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项目产出整体得分</w:t>
      </w:r>
      <w:r>
        <w:rPr>
          <w:rFonts w:hint="eastAsia" w:ascii="仿宋" w:hAnsi="仿宋" w:eastAsia="仿宋" w:cs="仿宋"/>
          <w:sz w:val="32"/>
          <w:szCs w:val="32"/>
          <w:lang w:val="en-US" w:eastAsia="zh-CN"/>
        </w:rPr>
        <w:t>19分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spacing w:line="540" w:lineRule="exact"/>
        <w:ind w:firstLine="600" w:firstLineChars="200"/>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w:t>
      </w:r>
      <w:r>
        <w:rPr>
          <w:rFonts w:hint="eastAsia" w:ascii="仿宋" w:hAnsi="仿宋" w:eastAsia="仿宋" w:cs="仿宋"/>
          <w:sz w:val="32"/>
          <w:szCs w:val="32"/>
          <w:lang w:eastAsia="zh-CN"/>
        </w:rPr>
        <w:t>分</w:t>
      </w:r>
      <w:r>
        <w:rPr>
          <w:rFonts w:hint="eastAsia" w:ascii="仿宋" w:hAnsi="仿宋" w:eastAsia="仿宋" w:cs="仿宋"/>
          <w:sz w:val="32"/>
          <w:szCs w:val="32"/>
          <w:lang w:val="en-US" w:eastAsia="zh-CN"/>
        </w:rPr>
        <w:t>3分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其中：项目效益3分。项目实施所产生的社会效益、经济效益、生态效益、可持续影响等。项目实际情况有选择地设置和细化。社会公众或服务对象对项目实施效果的满意。</w:t>
      </w:r>
    </w:p>
    <w:p>
      <w:pPr>
        <w:spacing w:line="540" w:lineRule="exact"/>
        <w:ind w:firstLine="640" w:firstLineChars="200"/>
        <w:outlineLvl w:val="0"/>
        <w:rPr>
          <w:rFonts w:hint="eastAsia" w:ascii="仿宋" w:hAnsi="仿宋" w:eastAsia="仿宋" w:cs="仿宋"/>
          <w:sz w:val="32"/>
          <w:szCs w:val="32"/>
        </w:rPr>
      </w:pPr>
    </w:p>
    <w:p>
      <w:pPr>
        <w:spacing w:line="540" w:lineRule="exact"/>
        <w:ind w:firstLine="602" w:firstLineChars="200"/>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我单位经过认真的绩效评价，实行评分制，评价结果为</w:t>
      </w:r>
      <w:r>
        <w:rPr>
          <w:rFonts w:hint="eastAsia" w:ascii="仿宋" w:hAnsi="仿宋" w:eastAsia="仿宋" w:cs="仿宋"/>
          <w:sz w:val="32"/>
          <w:szCs w:val="32"/>
          <w:lang w:val="en-US" w:eastAsia="zh-CN"/>
        </w:rPr>
        <w:t>94</w:t>
      </w:r>
      <w:r>
        <w:rPr>
          <w:rFonts w:hint="eastAsia" w:ascii="仿宋" w:hAnsi="仿宋" w:eastAsia="仿宋" w:cs="仿宋"/>
          <w:sz w:val="32"/>
          <w:szCs w:val="32"/>
        </w:rPr>
        <w:t>分。优秀（≥90分）。</w:t>
      </w:r>
    </w:p>
    <w:p>
      <w:pPr>
        <w:spacing w:line="540" w:lineRule="exact"/>
        <w:ind w:firstLine="640" w:firstLineChars="200"/>
        <w:outlineLvl w:val="0"/>
        <w:rPr>
          <w:rFonts w:hint="eastAsia" w:ascii="仿宋" w:hAnsi="仿宋" w:eastAsia="仿宋" w:cs="仿宋"/>
          <w:sz w:val="32"/>
          <w:szCs w:val="32"/>
          <w:lang w:eastAsia="zh-CN"/>
        </w:rPr>
      </w:pP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在项目过程中，资金管理预算执行率较低，实际支出金额过低。</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spacing w:line="540" w:lineRule="exact"/>
        <w:ind w:firstLine="640" w:firstLineChars="200"/>
        <w:rPr>
          <w:rFonts w:hint="eastAsia" w:ascii="仿宋" w:hAnsi="仿宋" w:eastAsia="仿宋" w:cs="仿宋"/>
          <w:sz w:val="32"/>
          <w:szCs w:val="32"/>
          <w:lang w:eastAsia="zh-CN"/>
        </w:rPr>
      </w:pPr>
    </w:p>
    <w:p>
      <w:pPr>
        <w:spacing w:line="600" w:lineRule="exact"/>
        <w:ind w:firstLine="602" w:firstLineChars="2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spacing w:line="600" w:lineRule="exact"/>
        <w:ind w:firstLine="640" w:firstLineChars="200"/>
        <w:rPr>
          <w:rFonts w:hint="eastAsia" w:ascii="仿宋" w:hAnsi="仿宋" w:eastAsia="仿宋" w:cs="仿宋"/>
          <w:sz w:val="32"/>
          <w:szCs w:val="32"/>
        </w:rPr>
      </w:pPr>
    </w:p>
    <w:p>
      <w:pPr>
        <w:numPr>
          <w:ilvl w:val="0"/>
          <w:numId w:val="5"/>
        </w:numPr>
        <w:spacing w:line="600" w:lineRule="exact"/>
        <w:ind w:firstLine="602" w:firstLineChars="200"/>
        <w:rPr>
          <w:rFonts w:hint="eastAsia" w:ascii="仿宋" w:hAnsi="仿宋" w:eastAsia="仿宋" w:cs="仿宋"/>
          <w:b w:val="0"/>
          <w:bCs w:val="0"/>
          <w:lang w:val="en-US" w:eastAsia="zh-CN"/>
        </w:rPr>
      </w:pPr>
      <w:bookmarkStart w:id="38" w:name="_Toc7856_WPSOffice_Level1"/>
      <w:r>
        <w:rPr>
          <w:rFonts w:hint="eastAsia" w:ascii="仿宋" w:hAnsi="仿宋" w:eastAsia="仿宋" w:cs="仿宋"/>
          <w:b/>
          <w:bCs/>
        </w:rPr>
        <w:t>其他需要说明的问题</w:t>
      </w:r>
      <w:bookmarkEnd w:id="38"/>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2"/>
          <w:szCs w:val="32"/>
          <w:lang w:eastAsia="zh-CN"/>
        </w:rPr>
      </w:pPr>
      <w:r>
        <w:rPr>
          <w:rFonts w:hint="eastAsia" w:ascii="仿宋" w:hAnsi="仿宋" w:eastAsia="仿宋" w:cs="仿宋"/>
          <w:b w:val="0"/>
          <w:bCs w:val="0"/>
          <w:lang w:val="en-US" w:eastAsia="zh-CN"/>
        </w:rPr>
        <w:t>无。</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FF0CC9"/>
    <w:multiLevelType w:val="singleLevel"/>
    <w:tmpl w:val="80FF0CC9"/>
    <w:lvl w:ilvl="0" w:tentative="0">
      <w:start w:val="4"/>
      <w:numFmt w:val="chineseCounting"/>
      <w:suff w:val="nothing"/>
      <w:lvlText w:val="（%1）"/>
      <w:lvlJc w:val="left"/>
      <w:rPr>
        <w:rFonts w:hint="eastAsia"/>
      </w:rPr>
    </w:lvl>
  </w:abstractNum>
  <w:abstractNum w:abstractNumId="1">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2">
    <w:nsid w:val="0A327E4F"/>
    <w:multiLevelType w:val="singleLevel"/>
    <w:tmpl w:val="0A327E4F"/>
    <w:lvl w:ilvl="0" w:tentative="0">
      <w:start w:val="1"/>
      <w:numFmt w:val="chineseCounting"/>
      <w:suff w:val="nothing"/>
      <w:lvlText w:val="%1、"/>
      <w:lvlJc w:val="left"/>
      <w:rPr>
        <w:rFonts w:hint="eastAsia"/>
      </w:rPr>
    </w:lvl>
  </w:abstractNum>
  <w:abstractNum w:abstractNumId="3">
    <w:nsid w:val="51982DE8"/>
    <w:multiLevelType w:val="singleLevel"/>
    <w:tmpl w:val="51982DE8"/>
    <w:lvl w:ilvl="0" w:tentative="0">
      <w:start w:val="8"/>
      <w:numFmt w:val="chineseCounting"/>
      <w:suff w:val="nothing"/>
      <w:lvlText w:val="%1、"/>
      <w:lvlJc w:val="left"/>
      <w:rPr>
        <w:rFonts w:hint="eastAsia"/>
      </w:rPr>
    </w:lvl>
  </w:abstractNum>
  <w:abstractNum w:abstractNumId="4">
    <w:nsid w:val="65F42854"/>
    <w:multiLevelType w:val="singleLevel"/>
    <w:tmpl w:val="65F42854"/>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5YWM4YWI4N2JhNzRjNjFiODJhOTk0ZGU2NjczZGE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2866762"/>
    <w:rsid w:val="04D71830"/>
    <w:rsid w:val="05C814D1"/>
    <w:rsid w:val="068A30E1"/>
    <w:rsid w:val="087E5ED6"/>
    <w:rsid w:val="10344175"/>
    <w:rsid w:val="10950344"/>
    <w:rsid w:val="13870451"/>
    <w:rsid w:val="14C544DE"/>
    <w:rsid w:val="15937EDE"/>
    <w:rsid w:val="160A4E2E"/>
    <w:rsid w:val="18316FEC"/>
    <w:rsid w:val="19730045"/>
    <w:rsid w:val="1CD83AD4"/>
    <w:rsid w:val="22FF5749"/>
    <w:rsid w:val="237C2E6E"/>
    <w:rsid w:val="264048FF"/>
    <w:rsid w:val="28E31734"/>
    <w:rsid w:val="298D64D6"/>
    <w:rsid w:val="2DEA16C1"/>
    <w:rsid w:val="2E722C7C"/>
    <w:rsid w:val="2EBC5DD8"/>
    <w:rsid w:val="2F7D571C"/>
    <w:rsid w:val="32BD6FFF"/>
    <w:rsid w:val="33B64661"/>
    <w:rsid w:val="35270760"/>
    <w:rsid w:val="37F83A31"/>
    <w:rsid w:val="38A10550"/>
    <w:rsid w:val="3AD62F4A"/>
    <w:rsid w:val="3BDC04F6"/>
    <w:rsid w:val="3E606C0D"/>
    <w:rsid w:val="3F625A53"/>
    <w:rsid w:val="3FC64A7F"/>
    <w:rsid w:val="42044303"/>
    <w:rsid w:val="47AB5220"/>
    <w:rsid w:val="496F0FA9"/>
    <w:rsid w:val="4A091AF1"/>
    <w:rsid w:val="4C513BE2"/>
    <w:rsid w:val="4DE64FC7"/>
    <w:rsid w:val="500752BA"/>
    <w:rsid w:val="51C7227A"/>
    <w:rsid w:val="569D042A"/>
    <w:rsid w:val="5A392CCC"/>
    <w:rsid w:val="60923C00"/>
    <w:rsid w:val="61A31F77"/>
    <w:rsid w:val="6206466E"/>
    <w:rsid w:val="64151F48"/>
    <w:rsid w:val="6A5C42C4"/>
    <w:rsid w:val="6A7F14C0"/>
    <w:rsid w:val="6CBA76B1"/>
    <w:rsid w:val="6CE34991"/>
    <w:rsid w:val="6D806684"/>
    <w:rsid w:val="6F722BE7"/>
    <w:rsid w:val="7237668C"/>
    <w:rsid w:val="78014865"/>
    <w:rsid w:val="79FC4835"/>
    <w:rsid w:val="7A615F8B"/>
    <w:rsid w:val="7A6F3D08"/>
    <w:rsid w:val="7B136824"/>
    <w:rsid w:val="7D8B382E"/>
    <w:rsid w:val="7E7E4AF6"/>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autoRedefine/>
    <w:qFormat/>
    <w:locked/>
    <w:uiPriority w:val="99"/>
    <w:rPr>
      <w:rFonts w:ascii="Times New Roman" w:hAnsi="Times New Roman" w:eastAsia="仿宋_GB2312" w:cs="Times New Roman"/>
      <w:sz w:val="18"/>
      <w:szCs w:val="18"/>
    </w:rPr>
  </w:style>
  <w:style w:type="character" w:customStyle="1" w:styleId="7">
    <w:name w:val="Footer Char"/>
    <w:basedOn w:val="5"/>
    <w:link w:val="2"/>
    <w:autoRedefine/>
    <w:qFormat/>
    <w:locked/>
    <w:uiPriority w:val="99"/>
    <w:rPr>
      <w:rFonts w:ascii="Times New Roman" w:hAnsi="Times New Roman" w:eastAsia="仿宋_GB2312" w:cs="Times New Roman"/>
      <w:sz w:val="18"/>
      <w:szCs w:val="18"/>
    </w:rPr>
  </w:style>
  <w:style w:type="paragraph" w:customStyle="1" w:styleId="8">
    <w:name w:val="Default"/>
    <w:autoRedefine/>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autoRedefine/>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autoRedefine/>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autoRedefine/>
    <w:qFormat/>
    <w:uiPriority w:val="0"/>
    <w:pPr>
      <w:ind w:leftChars="0"/>
    </w:pPr>
    <w:rPr>
      <w:rFonts w:ascii="Calibri" w:hAnsi="Calibri" w:eastAsia="宋体" w:cs="Times New Roman"/>
      <w:sz w:val="20"/>
      <w:szCs w:val="20"/>
    </w:rPr>
  </w:style>
  <w:style w:type="paragraph" w:customStyle="1" w:styleId="12">
    <w:name w:val="WPSOffice手动目录 2"/>
    <w:autoRedefine/>
    <w:qFormat/>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11</Pages>
  <Words>2585</Words>
  <Characters>2603</Characters>
  <Lines>0</Lines>
  <Paragraphs>0</Paragraphs>
  <TotalTime>8</TotalTime>
  <ScaleCrop>false</ScaleCrop>
  <LinksUpToDate>false</LinksUpToDate>
  <CharactersWithSpaces>2761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Administrator</cp:lastModifiedBy>
  <dcterms:modified xsi:type="dcterms:W3CDTF">2024-04-23T01:19:28Z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1CC869C89F484781849D447A0B49F9E9_13</vt:lpwstr>
  </property>
</Properties>
</file>