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无终街道办事处</w:t>
      </w:r>
    </w:p>
    <w:p>
      <w:pPr>
        <w:widowControl/>
        <w:spacing w:line="600" w:lineRule="exact"/>
        <w:jc w:val="center"/>
        <w:rPr>
          <w:rFonts w:hint="eastAsia" w:ascii="方正小标宋_GBK" w:hAnsi="宋体" w:eastAsia="方正小标宋_GBK" w:cs="宋体"/>
          <w:bCs/>
          <w:kern w:val="0"/>
          <w:sz w:val="44"/>
          <w:szCs w:val="44"/>
        </w:rPr>
      </w:pPr>
      <w:bookmarkStart w:id="0" w:name="_GoBack"/>
      <w:r>
        <w:rPr>
          <w:rFonts w:hint="eastAsia" w:ascii="方正小标宋_GBK" w:hAnsi="宋体" w:eastAsia="方正小标宋_GBK" w:cs="宋体"/>
          <w:bCs/>
          <w:kern w:val="0"/>
          <w:sz w:val="44"/>
          <w:szCs w:val="44"/>
          <w:u w:val="single"/>
          <w:lang w:val="en-US" w:eastAsia="zh-CN"/>
        </w:rPr>
        <w:t>人民武装、共青团经费、人大经费</w:t>
      </w:r>
      <w:bookmarkEnd w:id="0"/>
      <w:r>
        <w:rPr>
          <w:rFonts w:hint="eastAsia" w:ascii="方正小标宋_GBK" w:hAnsi="宋体" w:eastAsia="方正小标宋_GBK" w:cs="宋体"/>
          <w:bCs/>
          <w:kern w:val="0"/>
          <w:sz w:val="44"/>
          <w:szCs w:val="44"/>
        </w:rPr>
        <w:t>项目支出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left="638" w:leftChars="304" w:firstLine="0" w:firstLineChars="0"/>
        <w:outlineLvl w:val="0"/>
        <w:rPr>
          <w:rFonts w:hint="eastAsia"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eastAsia="zh-CN"/>
        </w:rPr>
        <w:t>：</w:t>
      </w:r>
      <w:r>
        <w:rPr>
          <w:rFonts w:hint="eastAsia" w:ascii="仿宋_GB2312" w:eastAsia="仿宋_GB2312"/>
          <w:sz w:val="32"/>
          <w:szCs w:val="32"/>
          <w:lang w:val="en-US" w:eastAsia="zh-CN"/>
        </w:rPr>
        <w:t>用于武装征兵宣传，共青团及人大工作所产生的办公费</w:t>
      </w:r>
    </w:p>
    <w:p>
      <w:pPr>
        <w:spacing w:line="600" w:lineRule="exact"/>
        <w:ind w:left="638" w:leftChars="304" w:firstLine="0" w:firstLineChars="0"/>
        <w:outlineLvl w:val="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：保障征兵，共青团及人大工作正常进行。</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w:t>
      </w:r>
      <w:r>
        <w:rPr>
          <w:rFonts w:hint="eastAsia" w:ascii="仿宋_GB2312" w:eastAsia="仿宋_GB2312"/>
          <w:sz w:val="32"/>
          <w:szCs w:val="32"/>
          <w:lang w:val="en-US" w:eastAsia="zh-CN"/>
        </w:rPr>
        <w:t>正</w:t>
      </w:r>
      <w:r>
        <w:rPr>
          <w:rFonts w:hint="eastAsia" w:ascii="仿宋_GB2312" w:eastAsia="仿宋_GB2312"/>
          <w:sz w:val="32"/>
          <w:szCs w:val="32"/>
        </w:rPr>
        <w:t>职任组长，由</w:t>
      </w:r>
      <w:r>
        <w:rPr>
          <w:rFonts w:hint="eastAsia" w:ascii="仿宋_GB2312" w:eastAsia="仿宋_GB2312"/>
          <w:sz w:val="32"/>
          <w:szCs w:val="32"/>
          <w:lang w:val="en-US" w:eastAsia="zh-CN"/>
        </w:rPr>
        <w:t>财务科员</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项目为日常工作发展项目，贯穿全年。</w:t>
      </w:r>
    </w:p>
    <w:p>
      <w:pPr>
        <w:spacing w:line="600" w:lineRule="exact"/>
        <w:ind w:left="638" w:leftChars="304" w:firstLine="0" w:firstLineChars="0"/>
        <w:outlineLvl w:val="0"/>
        <w:rPr>
          <w:rFonts w:hint="default"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确保了征兵，共青团及人大工作正常进行。</w:t>
      </w:r>
    </w:p>
    <w:p>
      <w:pPr>
        <w:spacing w:line="600" w:lineRule="exact"/>
        <w:ind w:left="638" w:leftChars="304" w:firstLine="0" w:firstLineChars="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确保了征兵，共青团及人大工作正常进行。</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无</w:t>
      </w:r>
    </w:p>
    <w:p/>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682DF0"/>
    <w:multiLevelType w:val="singleLevel"/>
    <w:tmpl w:val="DA682DF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NTY3NjRkOWU0YWM2YTdjNThlNmRmZTAxOWM3OTYifQ=="/>
  </w:docVars>
  <w:rsids>
    <w:rsidRoot w:val="00D72339"/>
    <w:rsid w:val="006D698D"/>
    <w:rsid w:val="007B014A"/>
    <w:rsid w:val="008D0681"/>
    <w:rsid w:val="00D72339"/>
    <w:rsid w:val="0FD13331"/>
    <w:rsid w:val="20DB04A3"/>
    <w:rsid w:val="44787793"/>
    <w:rsid w:val="4595474B"/>
    <w:rsid w:val="49D67DF9"/>
    <w:rsid w:val="51D879E2"/>
    <w:rsid w:val="52FF3873"/>
    <w:rsid w:val="5660729A"/>
    <w:rsid w:val="63AF0C61"/>
    <w:rsid w:val="6D51281B"/>
    <w:rsid w:val="786E1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4</TotalTime>
  <ScaleCrop>false</ScaleCrop>
  <LinksUpToDate>false</LinksUpToDate>
  <CharactersWithSpaces>826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2024-04-24T08:00:22Z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59C111C9FB25415286D294B9179023EC_13</vt:lpwstr>
  </property>
</Properties>
</file>