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移民迁建服务中心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冀财农【2022】134号2023年中央水库移民扶持基金预算</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pStyle w:val="9"/>
        <w:ind w:firstLine="640" w:firstLineChars="200"/>
        <w:jc w:val="left"/>
        <w:rPr>
          <w:rFonts w:hint="eastAsia" w:ascii="仿宋_GB2312" w:eastAsia="仿宋_GB2312"/>
          <w:sz w:val="32"/>
          <w:szCs w:val="32"/>
        </w:rPr>
      </w:pPr>
      <w:r>
        <w:rPr>
          <w:rFonts w:hint="eastAsia" w:ascii="仿宋_GB2312" w:eastAsia="仿宋_GB2312"/>
          <w:sz w:val="32"/>
          <w:szCs w:val="32"/>
        </w:rPr>
        <w:t>（一）项目概况。</w:t>
      </w:r>
    </w:p>
    <w:p>
      <w:pPr>
        <w:pStyle w:val="9"/>
        <w:ind w:firstLine="640" w:firstLineChars="200"/>
        <w:jc w:val="left"/>
        <w:rPr>
          <w:rFonts w:hint="eastAsia" w:ascii="仿宋" w:hAnsi="仿宋" w:eastAsia="仿宋" w:cs="Tahoma"/>
          <w:color w:val="444444"/>
          <w:sz w:val="32"/>
          <w:szCs w:val="32"/>
          <w:shd w:val="clear" w:color="auto" w:fill="FFFFFF"/>
        </w:rPr>
      </w:pPr>
      <w:r>
        <w:rPr>
          <w:rFonts w:hint="eastAsia" w:ascii="仿宋" w:hAnsi="仿宋" w:eastAsia="仿宋" w:cs="Tahoma"/>
          <w:color w:val="444444"/>
          <w:sz w:val="32"/>
          <w:szCs w:val="32"/>
          <w:shd w:val="clear" w:color="auto" w:fill="FFFFFF"/>
        </w:rPr>
        <w:t>根据“三定方案”，</w:t>
      </w:r>
      <w:r>
        <w:rPr>
          <w:rFonts w:hint="eastAsia" w:ascii="仿宋" w:hAnsi="仿宋" w:eastAsia="仿宋" w:cs="Tahoma"/>
          <w:color w:val="444444"/>
          <w:sz w:val="32"/>
          <w:szCs w:val="32"/>
          <w:shd w:val="clear" w:color="auto" w:fill="FFFFFF"/>
          <w:lang w:val="en-US" w:eastAsia="zh-CN"/>
        </w:rPr>
        <w:t>我单位</w:t>
      </w:r>
      <w:r>
        <w:rPr>
          <w:rFonts w:hint="eastAsia" w:ascii="仿宋" w:hAnsi="仿宋" w:eastAsia="仿宋" w:cs="Tahoma"/>
          <w:color w:val="444444"/>
          <w:sz w:val="32"/>
          <w:szCs w:val="32"/>
          <w:shd w:val="clear" w:color="auto" w:fill="FFFFFF"/>
        </w:rPr>
        <w:t>主要负责做好全县移民稳定工作，了解信息，掌握移民动态，协调配合乡镇做好稳控工作，尽量将发现问题解决在基层，避免移民大规模聚众上访。落实好返迁库区移民的安置工作，协助乡镇村落实好移民宅基地、责任田问题，在不违反政策的原则下，尽力解决好移民生产、生活中出现的个性问题。负责全县移民资金的管理使用</w:t>
      </w:r>
      <w:r>
        <w:rPr>
          <w:rFonts w:hint="eastAsia" w:ascii="仿宋" w:hAnsi="仿宋" w:eastAsia="仿宋" w:cs="Tahoma"/>
          <w:color w:val="444444"/>
          <w:sz w:val="32"/>
          <w:szCs w:val="32"/>
          <w:shd w:val="clear" w:color="auto" w:fill="FFFFFF"/>
          <w:lang w:val="en-US" w:eastAsia="zh-CN"/>
        </w:rPr>
        <w:t>和</w:t>
      </w:r>
      <w:r>
        <w:rPr>
          <w:rFonts w:hint="eastAsia" w:ascii="仿宋" w:hAnsi="仿宋" w:eastAsia="仿宋" w:cs="Tahoma"/>
          <w:color w:val="444444"/>
          <w:sz w:val="32"/>
          <w:szCs w:val="32"/>
          <w:shd w:val="clear" w:color="auto" w:fill="FFFFFF"/>
        </w:rPr>
        <w:t>发放，搞好移民资金的审计监督检查，确保安全规范运行，同时做好上级验收准备。</w:t>
      </w:r>
    </w:p>
    <w:p>
      <w:pPr>
        <w:pStyle w:val="9"/>
        <w:ind w:firstLine="640" w:firstLineChars="200"/>
        <w:jc w:val="left"/>
        <w:rPr>
          <w:rFonts w:ascii="仿宋_GB2312" w:eastAsia="仿宋_GB2312"/>
          <w:sz w:val="32"/>
          <w:szCs w:val="32"/>
        </w:rPr>
      </w:pPr>
      <w:r>
        <w:rPr>
          <w:rFonts w:hint="eastAsia" w:ascii="仿宋" w:hAnsi="仿宋" w:eastAsia="仿宋" w:cs="Tahoma"/>
          <w:color w:val="444444"/>
          <w:sz w:val="32"/>
          <w:szCs w:val="32"/>
          <w:shd w:val="clear" w:color="auto" w:fill="FFFFFF"/>
        </w:rPr>
        <w:t>为确保各项职能的开展，依据县政府批示和县财政局批复，</w:t>
      </w:r>
      <w:r>
        <w:rPr>
          <w:rFonts w:hint="eastAsia" w:ascii="仿宋" w:hAnsi="仿宋" w:eastAsia="仿宋" w:cs="Tahoma"/>
          <w:color w:val="444444"/>
          <w:sz w:val="32"/>
          <w:szCs w:val="32"/>
          <w:shd w:val="clear" w:color="auto" w:fill="FFFFFF"/>
          <w:lang w:val="en-US" w:eastAsia="zh-CN"/>
        </w:rPr>
        <w:t>以及中央水库移民后期扶持基金预算安排，</w:t>
      </w:r>
      <w:r>
        <w:rPr>
          <w:rFonts w:hint="eastAsia" w:ascii="仿宋" w:hAnsi="仿宋" w:eastAsia="仿宋" w:cs="Tahoma"/>
          <w:color w:val="444444"/>
          <w:sz w:val="32"/>
          <w:szCs w:val="32"/>
          <w:shd w:val="clear" w:color="auto" w:fill="FFFFFF"/>
        </w:rPr>
        <w:t>确立了冀财农【2022】134号2023年中央水库移民扶持基金项目，</w:t>
      </w:r>
      <w:r>
        <w:rPr>
          <w:rFonts w:hint="eastAsia" w:ascii="仿宋" w:hAnsi="仿宋" w:eastAsia="仿宋" w:cs="Tahoma"/>
          <w:color w:val="444444"/>
          <w:sz w:val="32"/>
          <w:szCs w:val="32"/>
          <w:shd w:val="clear" w:color="auto" w:fill="FFFFFF"/>
          <w:lang w:val="en-US" w:eastAsia="zh-CN"/>
        </w:rPr>
        <w:t>729.4</w:t>
      </w:r>
      <w:r>
        <w:rPr>
          <w:rFonts w:hint="eastAsia" w:ascii="仿宋" w:hAnsi="仿宋" w:eastAsia="仿宋" w:cs="Tahoma"/>
          <w:color w:val="444444"/>
          <w:sz w:val="32"/>
          <w:szCs w:val="32"/>
          <w:shd w:val="clear" w:color="auto" w:fill="FFFFFF"/>
        </w:rPr>
        <w:t>万元，由玉田</w:t>
      </w:r>
      <w:r>
        <w:rPr>
          <w:rFonts w:hint="eastAsia" w:ascii="仿宋" w:hAnsi="仿宋" w:eastAsia="仿宋" w:cs="Tahoma"/>
          <w:color w:val="444444"/>
          <w:sz w:val="32"/>
          <w:szCs w:val="32"/>
          <w:shd w:val="clear" w:color="auto" w:fill="FFFFFF"/>
          <w:lang w:val="en-US" w:eastAsia="zh-CN"/>
        </w:rPr>
        <w:t>移民迁建服务中心</w:t>
      </w:r>
      <w:r>
        <w:rPr>
          <w:rFonts w:hint="eastAsia" w:ascii="仿宋" w:hAnsi="仿宋" w:eastAsia="仿宋" w:cs="Tahoma"/>
          <w:color w:val="444444"/>
          <w:sz w:val="32"/>
          <w:szCs w:val="32"/>
          <w:shd w:val="clear" w:color="auto" w:fill="FFFFFF"/>
        </w:rPr>
        <w:t>负责组织实施。</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rPr>
          <w:rFonts w:hint="eastAsia" w:ascii="仿宋_GB2312" w:eastAsia="仿宋_GB2312"/>
          <w:sz w:val="32"/>
          <w:szCs w:val="32"/>
        </w:rPr>
      </w:pPr>
      <w:r>
        <w:rPr>
          <w:rFonts w:hint="eastAsia" w:ascii="仿宋" w:hAnsi="仿宋" w:eastAsia="仿宋" w:cs="Tahoma"/>
          <w:color w:val="444444"/>
          <w:sz w:val="32"/>
          <w:szCs w:val="32"/>
          <w:shd w:val="clear" w:color="auto" w:fill="FFFFFF"/>
        </w:rPr>
        <w:t>冀财农【2022】134号2023年中央水库移民扶持基金预算</w:t>
      </w:r>
      <w:r>
        <w:rPr>
          <w:rFonts w:hint="eastAsia" w:ascii="仿宋" w:hAnsi="仿宋" w:eastAsia="仿宋" w:cs="Tahoma"/>
          <w:color w:val="444444"/>
          <w:kern w:val="0"/>
          <w:sz w:val="32"/>
          <w:szCs w:val="32"/>
          <w:shd w:val="clear" w:color="auto" w:fill="FFFFFF"/>
          <w:lang w:val="en-US" w:eastAsia="zh-CN" w:bidi="ar-SA"/>
        </w:rPr>
        <w:t>729.4万元。资金支出按照省移民办文件规定直补资金302.40万元，计划第一季度实施移民补助资金258.42万元到卡，第二季度安排结余43.98万元左右资金，计划安排1个美丽家园建设项目。资金支出按照省移民办文件规定基础设施建设资金427万元，目标为完成移民美丽家园项目建设，改善移民生产生活环境，计划安排7</w:t>
      </w:r>
      <w:bookmarkStart w:id="0" w:name="_GoBack"/>
      <w:bookmarkEnd w:id="0"/>
      <w:r>
        <w:rPr>
          <w:rFonts w:hint="eastAsia" w:ascii="仿宋" w:hAnsi="仿宋" w:eastAsia="仿宋" w:cs="Tahoma"/>
          <w:color w:val="444444"/>
          <w:kern w:val="0"/>
          <w:sz w:val="32"/>
          <w:szCs w:val="32"/>
          <w:shd w:val="clear" w:color="auto" w:fill="FFFFFF"/>
          <w:lang w:val="en-US" w:eastAsia="zh-CN" w:bidi="ar-SA"/>
        </w:rPr>
        <w:t>个美丽家园项目。1-12月支出727.4万元，预算执行率为99.73%，项目目标完成情况较好。</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numPr>
          <w:ilvl w:val="0"/>
          <w:numId w:val="0"/>
        </w:numPr>
        <w:spacing w:line="600" w:lineRule="exact"/>
        <w:ind w:firstLine="640" w:firstLineChars="200"/>
        <w:rPr>
          <w:rFonts w:hint="eastAsia" w:ascii="仿宋_GB2312" w:eastAsia="仿宋_GB2312"/>
          <w:sz w:val="32"/>
          <w:szCs w:val="32"/>
        </w:rPr>
      </w:pPr>
      <w:r>
        <w:rPr>
          <w:rFonts w:ascii="仿宋" w:hAnsi="仿宋" w:eastAsia="仿宋" w:cs="Arial"/>
          <w:color w:val="333333"/>
          <w:sz w:val="32"/>
          <w:szCs w:val="32"/>
        </w:rPr>
        <w:t>项目组织情况分析。项目组织有计划有措施，严格执行相关制度和文件规定，顺利完成项目预期目标。</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pStyle w:val="4"/>
        <w:keepNext w:val="0"/>
        <w:keepLines w:val="0"/>
        <w:widowControl w:val="0"/>
        <w:suppressLineNumbers w:val="0"/>
        <w:spacing w:before="0" w:beforeAutospacing="0" w:after="0" w:afterAutospacing="0" w:line="627" w:lineRule="exact"/>
        <w:ind w:left="0" w:right="0" w:firstLine="620"/>
        <w:jc w:val="both"/>
        <w:rPr>
          <w:rFonts w:ascii="仿宋" w:hAnsi="仿宋" w:eastAsia="仿宋" w:cs="仿宋"/>
          <w:color w:val="000000"/>
          <w:spacing w:val="0"/>
          <w:kern w:val="2"/>
          <w:sz w:val="30"/>
          <w:szCs w:val="30"/>
        </w:rPr>
      </w:pPr>
      <w:r>
        <w:rPr>
          <w:rFonts w:ascii="仿宋" w:hAnsi="仿宋" w:eastAsia="仿宋" w:cs="仿宋"/>
          <w:color w:val="000000"/>
          <w:spacing w:val="0"/>
          <w:kern w:val="2"/>
          <w:sz w:val="30"/>
          <w:szCs w:val="30"/>
        </w:rPr>
        <w:t>绩效评价的原则：</w:t>
      </w:r>
    </w:p>
    <w:p>
      <w:pPr>
        <w:pStyle w:val="4"/>
        <w:keepNext w:val="0"/>
        <w:keepLines w:val="0"/>
        <w:widowControl w:val="0"/>
        <w:suppressLineNumbers w:val="0"/>
        <w:spacing w:before="0" w:beforeAutospacing="0" w:after="0" w:afterAutospacing="0" w:line="627" w:lineRule="exact"/>
        <w:ind w:left="0" w:right="0" w:firstLine="620"/>
        <w:jc w:val="both"/>
        <w:rPr>
          <w:rFonts w:ascii="仿宋" w:hAnsi="仿宋" w:eastAsia="仿宋" w:cs="仿宋"/>
          <w:color w:val="000000"/>
          <w:spacing w:val="0"/>
          <w:kern w:val="2"/>
          <w:sz w:val="30"/>
          <w:szCs w:val="30"/>
        </w:rPr>
      </w:pPr>
      <w:r>
        <w:rPr>
          <w:rFonts w:ascii="仿宋" w:hAnsi="仿宋" w:eastAsia="仿宋" w:cs="仿宋"/>
          <w:color w:val="000000"/>
          <w:spacing w:val="0"/>
          <w:kern w:val="2"/>
          <w:sz w:val="30"/>
          <w:szCs w:val="30"/>
        </w:rPr>
        <w:t>一是科学规范原则。绩效评价注重财政支出的经济性、效率性和有效性，严格执行规定的程序，采用定量与定性分析相结合的方法。</w:t>
      </w:r>
    </w:p>
    <w:p>
      <w:pPr>
        <w:pStyle w:val="4"/>
        <w:keepNext w:val="0"/>
        <w:keepLines w:val="0"/>
        <w:widowControl w:val="0"/>
        <w:suppressLineNumbers w:val="0"/>
        <w:spacing w:before="0" w:beforeAutospacing="0" w:after="0" w:afterAutospacing="0" w:line="627" w:lineRule="exact"/>
        <w:ind w:left="0" w:right="0" w:firstLine="620"/>
        <w:jc w:val="both"/>
        <w:rPr>
          <w:rFonts w:ascii="仿宋" w:hAnsi="仿宋" w:eastAsia="仿宋" w:cs="仿宋"/>
          <w:color w:val="000000"/>
          <w:spacing w:val="0"/>
          <w:kern w:val="2"/>
          <w:sz w:val="30"/>
          <w:szCs w:val="30"/>
        </w:rPr>
      </w:pPr>
      <w:r>
        <w:rPr>
          <w:rFonts w:ascii="仿宋" w:hAnsi="仿宋" w:eastAsia="仿宋" w:cs="仿宋"/>
          <w:color w:val="000000"/>
          <w:spacing w:val="0"/>
          <w:kern w:val="2"/>
          <w:sz w:val="30"/>
          <w:szCs w:val="30"/>
        </w:rPr>
        <w:t>二是公正公开原则。坚持客观公正，标准统一、资料可靠，依法公开并接受监督。</w:t>
      </w:r>
    </w:p>
    <w:p>
      <w:pPr>
        <w:pStyle w:val="4"/>
        <w:keepNext w:val="0"/>
        <w:keepLines w:val="0"/>
        <w:widowControl w:val="0"/>
        <w:suppressLineNumbers w:val="0"/>
        <w:spacing w:before="0" w:beforeAutospacing="0" w:after="0" w:afterAutospacing="0" w:line="627" w:lineRule="exact"/>
        <w:ind w:left="0" w:right="0" w:firstLine="620"/>
        <w:jc w:val="both"/>
        <w:rPr>
          <w:rFonts w:ascii="仿宋" w:hAnsi="仿宋" w:eastAsia="仿宋" w:cs="仿宋"/>
          <w:color w:val="000000"/>
          <w:spacing w:val="0"/>
          <w:kern w:val="2"/>
          <w:sz w:val="30"/>
          <w:szCs w:val="30"/>
        </w:rPr>
      </w:pPr>
      <w:r>
        <w:rPr>
          <w:rFonts w:ascii="仿宋" w:hAnsi="仿宋" w:eastAsia="仿宋" w:cs="仿宋"/>
          <w:color w:val="000000"/>
          <w:spacing w:val="0"/>
          <w:kern w:val="2"/>
          <w:sz w:val="30"/>
          <w:szCs w:val="30"/>
        </w:rPr>
        <w:t>三是分级分类原则。绩效评估由县级财政部门、相关单位根据评价对象的特点分类组织实施。</w:t>
      </w:r>
    </w:p>
    <w:p>
      <w:pPr>
        <w:pStyle w:val="4"/>
        <w:keepNext w:val="0"/>
        <w:keepLines w:val="0"/>
        <w:widowControl w:val="0"/>
        <w:suppressLineNumbers w:val="0"/>
        <w:spacing w:before="0" w:beforeAutospacing="0" w:after="0" w:afterAutospacing="0" w:line="627" w:lineRule="exact"/>
        <w:ind w:left="0" w:right="0" w:firstLine="620"/>
        <w:jc w:val="both"/>
        <w:rPr>
          <w:rFonts w:hint="eastAsia" w:ascii="宋体" w:hAnsi="宋体" w:eastAsia="宋体" w:cs="宋体"/>
          <w:color w:val="000000"/>
          <w:spacing w:val="0"/>
          <w:kern w:val="0"/>
          <w:sz w:val="36"/>
          <w:szCs w:val="36"/>
        </w:rPr>
      </w:pPr>
      <w:r>
        <w:rPr>
          <w:rFonts w:ascii="仿宋" w:hAnsi="仿宋" w:eastAsia="仿宋" w:cs="仿宋"/>
          <w:color w:val="000000"/>
          <w:spacing w:val="0"/>
          <w:kern w:val="2"/>
          <w:sz w:val="30"/>
          <w:szCs w:val="30"/>
        </w:rPr>
        <w:t>四是绩效相关原则。绩效评价针对具体支出及其产出绩效进行，评价结果应清晰反映支出与产出绩效之间的紧密对应关系。</w:t>
      </w:r>
    </w:p>
    <w:p>
      <w:pPr>
        <w:pStyle w:val="4"/>
        <w:keepNext w:val="0"/>
        <w:keepLines w:val="0"/>
        <w:widowControl w:val="0"/>
        <w:suppressLineNumbers w:val="0"/>
        <w:spacing w:before="0" w:beforeAutospacing="0" w:after="0" w:afterAutospacing="0" w:line="627" w:lineRule="exact"/>
        <w:ind w:right="0"/>
        <w:jc w:val="center"/>
      </w:pPr>
      <w:r>
        <w:rPr>
          <w:rFonts w:hint="eastAsia" w:ascii="宋体" w:hAnsi="宋体" w:eastAsia="宋体" w:cs="宋体"/>
          <w:color w:val="000000"/>
          <w:spacing w:val="0"/>
          <w:kern w:val="0"/>
          <w:sz w:val="36"/>
          <w:szCs w:val="36"/>
        </w:rPr>
        <w:t xml:space="preserve">绩效评价指标体系 </w:t>
      </w:r>
    </w:p>
    <w:tbl>
      <w:tblPr>
        <w:tblStyle w:val="5"/>
        <w:tblW w:w="89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784"/>
        <w:gridCol w:w="1784"/>
        <w:gridCol w:w="1538"/>
        <w:gridCol w:w="2030"/>
        <w:gridCol w:w="17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绩效指标</w:t>
            </w:r>
          </w:p>
        </w:tc>
        <w:tc>
          <w:tcPr>
            <w:tcW w:w="1784"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一级指标</w:t>
            </w:r>
          </w:p>
        </w:tc>
        <w:tc>
          <w:tcPr>
            <w:tcW w:w="1538"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二级指标</w:t>
            </w:r>
          </w:p>
        </w:tc>
        <w:tc>
          <w:tcPr>
            <w:tcW w:w="2030"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三级指标</w:t>
            </w:r>
          </w:p>
        </w:tc>
        <w:tc>
          <w:tcPr>
            <w:tcW w:w="1784"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管理指标</w:t>
            </w:r>
          </w:p>
        </w:tc>
        <w:tc>
          <w:tcPr>
            <w:tcW w:w="1538" w:type="dxa"/>
            <w:vMerge w:val="restart"/>
            <w:tcBorders>
              <w:top w:val="nil"/>
              <w:left w:val="nil"/>
              <w:bottom w:val="nil"/>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预算管理</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资金到位率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到位及时率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预算执行率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2"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管理制度健全性</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2"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资金使用合规性</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2"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vMerge w:val="continue"/>
            <w:tcBorders>
              <w:top w:val="nil"/>
              <w:left w:val="nil"/>
              <w:bottom w:val="nil"/>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财务监控有效性</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产出指标</w:t>
            </w: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产出数量</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实际完成率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产出时效</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完成及时率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产出质量</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质量达标率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产出成本</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olor w:val="000000"/>
                <w:spacing w:val="0"/>
                <w:kern w:val="0"/>
                <w:sz w:val="23"/>
                <w:szCs w:val="23"/>
                <w:lang w:val="en-US" w:eastAsia="zh-CN" w:bidi="ar"/>
              </w:rPr>
              <w:t>成本节约率</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效益指标</w:t>
            </w: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经济效益</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社会效益</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生态效益</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2"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vMerge w:val="continue"/>
            <w:tcBorders>
              <w:top w:val="nil"/>
              <w:left w:val="nil"/>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可持续影响指标</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5" w:hRule="atLeast"/>
        </w:trPr>
        <w:tc>
          <w:tcPr>
            <w:tcW w:w="1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微软雅黑" w:hAnsi="微软雅黑" w:eastAsia="微软雅黑" w:cs="微软雅黑"/>
                <w:color w:val="000000"/>
                <w:sz w:val="21"/>
                <w:szCs w:val="21"/>
              </w:rPr>
            </w:pP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满意度指标</w:t>
            </w:r>
          </w:p>
        </w:tc>
        <w:tc>
          <w:tcPr>
            <w:tcW w:w="153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服务对象满意度指标</w:t>
            </w:r>
          </w:p>
        </w:tc>
        <w:tc>
          <w:tcPr>
            <w:tcW w:w="203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left"/>
            </w:pPr>
            <w:r>
              <w:rPr>
                <w:rFonts w:hint="eastAsia" w:ascii="宋体" w:hAnsi="宋体" w:eastAsia="宋体" w:cs="宋体"/>
                <w:i w:val="0"/>
                <w:color w:val="000000"/>
                <w:kern w:val="0"/>
                <w:sz w:val="23"/>
                <w:szCs w:val="23"/>
                <w:lang w:val="en-US" w:eastAsia="zh-CN" w:bidi="ar"/>
              </w:rPr>
              <w:t> </w:t>
            </w:r>
          </w:p>
        </w:tc>
        <w:tc>
          <w:tcPr>
            <w:tcW w:w="17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olor w:val="000000"/>
                <w:spacing w:val="0"/>
                <w:kern w:val="0"/>
                <w:sz w:val="23"/>
                <w:szCs w:val="23"/>
                <w:lang w:val="en-US" w:eastAsia="zh-CN" w:bidi="ar"/>
              </w:rPr>
              <w:t>10</w:t>
            </w:r>
          </w:p>
        </w:tc>
      </w:tr>
    </w:tbl>
    <w:p>
      <w:pPr>
        <w:pStyle w:val="4"/>
        <w:keepNext w:val="0"/>
        <w:keepLines w:val="0"/>
        <w:widowControl w:val="0"/>
        <w:suppressLineNumbers w:val="0"/>
        <w:spacing w:before="0" w:beforeAutospacing="0" w:after="0" w:afterAutospacing="0" w:line="627" w:lineRule="exact"/>
        <w:ind w:right="0" w:firstLine="600" w:firstLineChars="200"/>
        <w:jc w:val="both"/>
      </w:pPr>
      <w:r>
        <w:rPr>
          <w:rFonts w:hint="eastAsia" w:ascii="仿宋" w:hAnsi="仿宋" w:eastAsia="仿宋" w:cs="仿宋"/>
          <w:color w:val="000000"/>
          <w:spacing w:val="0"/>
          <w:kern w:val="2"/>
          <w:sz w:val="30"/>
          <w:szCs w:val="30"/>
        </w:rPr>
        <w:t>绩效评价方法：釆用定量与定性评价相结合的比较法, 总分由各项指标得分汇总形成。</w:t>
      </w:r>
    </w:p>
    <w:p>
      <w:pPr>
        <w:pStyle w:val="4"/>
        <w:keepNext w:val="0"/>
        <w:keepLines w:val="0"/>
        <w:widowControl w:val="0"/>
        <w:suppressLineNumbers w:val="0"/>
        <w:spacing w:before="0" w:beforeAutospacing="0" w:after="0" w:afterAutospacing="0" w:line="627" w:lineRule="exact"/>
        <w:ind w:left="0" w:right="0" w:firstLine="620"/>
        <w:jc w:val="both"/>
        <w:rPr>
          <w:rFonts w:hint="eastAsia" w:ascii="仿宋_GB2312" w:eastAsia="仿宋_GB2312"/>
          <w:sz w:val="32"/>
          <w:szCs w:val="32"/>
        </w:rPr>
      </w:pPr>
      <w:r>
        <w:rPr>
          <w:rFonts w:hint="eastAsia" w:ascii="仿宋" w:hAnsi="仿宋" w:eastAsia="仿宋" w:cs="仿宋"/>
          <w:color w:val="000000"/>
          <w:spacing w:val="0"/>
          <w:kern w:val="2"/>
          <w:sz w:val="30"/>
          <w:szCs w:val="30"/>
        </w:rPr>
        <w:t>绩效评价的标准：釆取评分和评级相结合的方式，总分设置为100分，等级划分为四档：90（含）-1OO分为优、80（含）-90分为良、60（含）-80分为中、60分以下为差。</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widowControl/>
        <w:wordWrap w:val="0"/>
        <w:spacing w:line="242" w:lineRule="atLeast"/>
        <w:ind w:firstLine="627" w:firstLineChars="196"/>
        <w:rPr>
          <w:rFonts w:hint="eastAsia" w:eastAsia="黑体"/>
          <w:sz w:val="32"/>
          <w:szCs w:val="32"/>
        </w:rPr>
      </w:pPr>
      <w:r>
        <w:rPr>
          <w:rFonts w:hint="eastAsia" w:ascii="仿宋" w:hAnsi="仿宋" w:eastAsia="仿宋"/>
          <w:color w:val="000000"/>
          <w:kern w:val="0"/>
          <w:sz w:val="32"/>
          <w:szCs w:val="32"/>
          <w:lang w:val="en-US" w:eastAsia="zh-CN"/>
        </w:rPr>
        <w:t>我部门</w:t>
      </w:r>
      <w:r>
        <w:rPr>
          <w:rFonts w:hint="eastAsia" w:ascii="仿宋" w:hAnsi="仿宋" w:eastAsia="仿宋"/>
          <w:color w:val="000000"/>
          <w:kern w:val="0"/>
          <w:sz w:val="32"/>
          <w:szCs w:val="32"/>
        </w:rPr>
        <w:t>严格按照既定方案和计划组织实施，确保专款专用。在支出过程中，能够严格遵守各项规章制度，按计划开展项目实施工作，项目进度、项目质量控制有效，达到了预期目标。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（一）项目决策情况。依据县政府批示和县财政局批复进行项目实施。</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（二）项目过程情况。由本单位组织相关科室进行实施。</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（三）项目产出情况。项目完成及时，促进</w:t>
      </w:r>
      <w:r>
        <w:rPr>
          <w:rFonts w:hint="eastAsia" w:ascii="仿宋_GB2312" w:eastAsia="仿宋_GB2312"/>
          <w:sz w:val="32"/>
          <w:szCs w:val="32"/>
          <w:lang w:val="en-US" w:eastAsia="zh-CN"/>
        </w:rPr>
        <w:t>有关移民群体的</w:t>
      </w:r>
      <w:r>
        <w:rPr>
          <w:rFonts w:hint="eastAsia" w:ascii="仿宋_GB2312" w:eastAsia="仿宋_GB2312"/>
          <w:sz w:val="32"/>
          <w:szCs w:val="32"/>
        </w:rPr>
        <w:t>各项公共基础设施建设和社会经济活动。</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（四）项目效益情况。202</w:t>
      </w:r>
      <w:r>
        <w:rPr>
          <w:rFonts w:hint="eastAsia" w:ascii="仿宋_GB2312" w:eastAsia="仿宋_GB2312"/>
          <w:sz w:val="32"/>
          <w:szCs w:val="32"/>
          <w:lang w:val="en-US" w:eastAsia="zh-CN"/>
        </w:rPr>
        <w:t>3</w:t>
      </w:r>
      <w:r>
        <w:rPr>
          <w:rFonts w:hint="eastAsia" w:ascii="仿宋_GB2312" w:eastAsia="仿宋_GB2312"/>
          <w:sz w:val="32"/>
          <w:szCs w:val="32"/>
        </w:rPr>
        <w:t>年该项目完成较好，均达到了项目预期，资金安排有保障，目标明确。</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ascii="仿宋" w:hAnsi="仿宋" w:eastAsia="仿宋"/>
          <w:color w:val="333333"/>
          <w:sz w:val="32"/>
          <w:szCs w:val="32"/>
          <w:shd w:val="clear" w:color="auto" w:fill="FFFFFF"/>
        </w:rPr>
      </w:pPr>
      <w:r>
        <w:rPr>
          <w:rFonts w:hint="eastAsia" w:ascii="仿宋" w:hAnsi="仿宋" w:eastAsia="仿宋"/>
          <w:color w:val="333333"/>
          <w:sz w:val="32"/>
          <w:szCs w:val="32"/>
          <w:shd w:val="clear" w:color="auto" w:fill="FFFFFF"/>
        </w:rPr>
        <w:t>主要经验做法为：明确牵头科室，落实专人负责，对照文件要求逐项检查，做到主动及时查找，重点检查项目预算费用和实际使用费用情况。</w:t>
      </w:r>
    </w:p>
    <w:p>
      <w:pPr>
        <w:spacing w:line="600" w:lineRule="exact"/>
        <w:ind w:firstLine="640" w:firstLineChars="200"/>
        <w:rPr>
          <w:rFonts w:hint="eastAsia" w:ascii="仿宋" w:hAnsi="仿宋" w:eastAsia="仿宋"/>
          <w:color w:val="333333"/>
          <w:sz w:val="32"/>
          <w:szCs w:val="32"/>
          <w:shd w:val="clear" w:color="auto" w:fill="FFFFFF"/>
        </w:rPr>
      </w:pPr>
      <w:r>
        <w:rPr>
          <w:rFonts w:hint="eastAsia" w:ascii="仿宋" w:hAnsi="仿宋" w:eastAsia="仿宋"/>
          <w:color w:val="333333"/>
          <w:sz w:val="32"/>
          <w:szCs w:val="32"/>
          <w:shd w:val="clear" w:color="auto" w:fill="FFFFFF"/>
        </w:rPr>
        <w:t>绩效管理工作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spacing w:line="600" w:lineRule="exact"/>
        <w:ind w:firstLine="640" w:firstLineChars="200"/>
        <w:rPr>
          <w:rFonts w:hint="eastAsia" w:eastAsia="黑体"/>
          <w:sz w:val="32"/>
          <w:szCs w:val="32"/>
        </w:rPr>
      </w:pPr>
      <w:r>
        <w:rPr>
          <w:rFonts w:hint="eastAsia" w:ascii="仿宋" w:hAnsi="仿宋" w:eastAsia="仿宋"/>
          <w:color w:val="333333"/>
          <w:sz w:val="32"/>
          <w:szCs w:val="32"/>
          <w:shd w:val="clear" w:color="auto" w:fill="FFFFFF"/>
        </w:rPr>
        <w:t>针对以上问题，下一步我部门将进一步制定措施，严格管理，把绩效评价做实、做细、做准，主要措施包括：一是制定科学、准确的绩效目标；二是精准细化绩效产出和成果指标；三是积极探索改进绩效评估方法，进一步拓展评价模式，扩大评价范围；四是建立健全绩效管理制度，强化绩效监控措施；五是重视绩效评价结果应用，加强宣传，营造“讲绩效、重绩效、用绩效”的良好舆论氛围，增强绩效管理理念。</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3FEE56"/>
    <w:multiLevelType w:val="singleLevel"/>
    <w:tmpl w:val="833FEE56"/>
    <w:lvl w:ilvl="0" w:tentative="0">
      <w:start w:val="3"/>
      <w:numFmt w:val="chineseCounting"/>
      <w:suff w:val="nothing"/>
      <w:lvlText w:val="%1、"/>
      <w:lvlJc w:val="left"/>
      <w:rPr>
        <w:rFonts w:hint="eastAsia"/>
      </w:rPr>
    </w:lvl>
  </w:abstractNum>
  <w:abstractNum w:abstractNumId="1">
    <w:nsid w:val="2D8C838B"/>
    <w:multiLevelType w:val="singleLevel"/>
    <w:tmpl w:val="2D8C838B"/>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EA07AC5"/>
    <w:rsid w:val="0FD13331"/>
    <w:rsid w:val="200838E8"/>
    <w:rsid w:val="26C62AF0"/>
    <w:rsid w:val="34596628"/>
    <w:rsid w:val="44787793"/>
    <w:rsid w:val="4595474B"/>
    <w:rsid w:val="49D67DF9"/>
    <w:rsid w:val="51D879E2"/>
    <w:rsid w:val="63AF0C61"/>
    <w:rsid w:val="7C293617"/>
    <w:rsid w:val="7EDB4D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rPr>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customStyle="1" w:styleId="9">
    <w:name w:val="p0"/>
    <w:basedOn w:val="1"/>
    <w:qFormat/>
    <w:uiPriority w:val="0"/>
    <w:pPr>
      <w:widowControl/>
    </w:pPr>
    <w:rPr>
      <w:rFonts w:ascii="Calibri" w:hAnsi="Calibri" w:cs="宋体"/>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8</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2024-04-25T01:39:00Z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