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玉田县</w:t>
      </w:r>
      <w:r>
        <w:rPr>
          <w:rFonts w:hint="eastAsia" w:ascii="方正小标宋简体" w:hAnsi="方正小标宋简体" w:eastAsia="方正小标宋简体" w:cs="方正小标宋简体"/>
          <w:sz w:val="44"/>
          <w:szCs w:val="44"/>
          <w:lang w:eastAsia="zh-CN"/>
        </w:rPr>
        <w:t>退役军人事务局</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冀财社【2022】165号2023年省级财政退役安置补助经费（退役士兵职业教育和技能培训补助）绩效评价</w:t>
      </w:r>
      <w:r>
        <w:rPr>
          <w:rFonts w:hint="eastAsia" w:ascii="方正小标宋简体" w:hAnsi="方正小标宋简体" w:eastAsia="方正小标宋简体" w:cs="方正小标宋简体"/>
          <w:sz w:val="44"/>
          <w:szCs w:val="44"/>
        </w:rPr>
        <w:t>报告</w:t>
      </w:r>
    </w:p>
    <w:p>
      <w:pPr>
        <w:rPr>
          <w:rFonts w:ascii="黑体" w:hAnsi="黑体" w:eastAsia="黑体"/>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ind w:firstLine="640" w:firstLineChars="200"/>
        <w:rPr>
          <w:rFonts w:ascii="黑体" w:hAnsi="黑体" w:eastAsia="黑体"/>
          <w:sz w:val="32"/>
          <w:szCs w:val="32"/>
        </w:rPr>
      </w:pPr>
      <w:r>
        <w:rPr>
          <w:rFonts w:hint="eastAsia" w:ascii="黑体" w:hAnsi="黑体" w:eastAsia="黑体"/>
          <w:sz w:val="32"/>
          <w:szCs w:val="32"/>
        </w:rPr>
        <w:t>一、基本情况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年我县用于</w:t>
      </w:r>
      <w:r>
        <w:rPr>
          <w:rFonts w:hint="eastAsia" w:ascii="仿宋" w:hAnsi="仿宋" w:eastAsia="仿宋" w:cs="仿宋_GB2312"/>
          <w:sz w:val="32"/>
          <w:szCs w:val="32"/>
          <w:lang w:val="en-US" w:eastAsia="zh-CN"/>
        </w:rPr>
        <w:t>退役士兵教育培训</w:t>
      </w:r>
      <w:r>
        <w:rPr>
          <w:rFonts w:hint="eastAsia" w:ascii="仿宋" w:hAnsi="仿宋" w:eastAsia="仿宋" w:cs="仿宋_GB2312"/>
          <w:sz w:val="32"/>
          <w:szCs w:val="32"/>
        </w:rPr>
        <w:t>经费</w:t>
      </w:r>
      <w:r>
        <w:rPr>
          <w:rFonts w:hint="eastAsia" w:ascii="仿宋" w:hAnsi="仿宋" w:eastAsia="仿宋" w:cs="仿宋_GB2312"/>
          <w:sz w:val="32"/>
          <w:szCs w:val="32"/>
          <w:lang w:eastAsia="zh-CN"/>
        </w:rPr>
        <w:t>（省级财政）</w:t>
      </w:r>
      <w:r>
        <w:rPr>
          <w:rFonts w:hint="eastAsia" w:ascii="仿宋" w:hAnsi="仿宋" w:eastAsia="仿宋" w:cs="仿宋_GB2312"/>
          <w:sz w:val="32"/>
          <w:szCs w:val="32"/>
        </w:rPr>
        <w:t>共计</w:t>
      </w:r>
      <w:r>
        <w:rPr>
          <w:rFonts w:hint="eastAsia" w:ascii="仿宋" w:hAnsi="仿宋" w:eastAsia="仿宋" w:cs="仿宋_GB2312"/>
          <w:bCs/>
          <w:color w:val="000000"/>
          <w:sz w:val="32"/>
          <w:szCs w:val="32"/>
          <w:lang w:val="en-US" w:eastAsia="zh-CN"/>
        </w:rPr>
        <w:t>3.08</w:t>
      </w:r>
      <w:r>
        <w:rPr>
          <w:rFonts w:hint="eastAsia" w:ascii="仿宋" w:hAnsi="仿宋" w:eastAsia="仿宋" w:cs="仿宋_GB2312"/>
          <w:bCs/>
          <w:color w:val="000000"/>
          <w:sz w:val="32"/>
          <w:szCs w:val="32"/>
        </w:rPr>
        <w:t>万元。确保了</w:t>
      </w:r>
      <w:r>
        <w:rPr>
          <w:rFonts w:hint="eastAsia" w:ascii="仿宋" w:hAnsi="仿宋" w:eastAsia="仿宋" w:cs="仿宋_GB2312"/>
          <w:bCs/>
          <w:color w:val="000000"/>
          <w:sz w:val="32"/>
          <w:szCs w:val="32"/>
          <w:lang w:val="en-US" w:eastAsia="zh-CN"/>
        </w:rPr>
        <w:t>退役士兵教育培训经费</w:t>
      </w:r>
      <w:r>
        <w:rPr>
          <w:rFonts w:hint="eastAsia" w:ascii="仿宋" w:hAnsi="仿宋" w:eastAsia="仿宋" w:cs="仿宋_GB2312"/>
          <w:bCs/>
          <w:color w:val="000000"/>
          <w:sz w:val="32"/>
          <w:szCs w:val="32"/>
        </w:rPr>
        <w:t>按时足额</w:t>
      </w:r>
      <w:r>
        <w:rPr>
          <w:rFonts w:hint="eastAsia" w:ascii="仿宋" w:hAnsi="仿宋" w:eastAsia="仿宋" w:cs="仿宋_GB2312"/>
          <w:bCs/>
          <w:color w:val="000000"/>
          <w:sz w:val="32"/>
          <w:szCs w:val="32"/>
          <w:lang w:eastAsia="zh-CN"/>
        </w:rPr>
        <w:t>支出</w:t>
      </w:r>
      <w:r>
        <w:rPr>
          <w:rFonts w:hint="eastAsia" w:ascii="仿宋" w:hAnsi="仿宋" w:eastAsia="仿宋" w:cs="仿宋_GB2312"/>
          <w:bCs/>
          <w:color w:val="000000"/>
          <w:sz w:val="32"/>
          <w:szCs w:val="32"/>
        </w:rPr>
        <w:t>，取得了一定的社会效益。</w:t>
      </w:r>
    </w:p>
    <w:p>
      <w:pPr>
        <w:ind w:firstLine="640" w:firstLineChars="200"/>
        <w:rPr>
          <w:rFonts w:ascii="黑体" w:hAnsi="黑体" w:eastAsia="黑体"/>
          <w:sz w:val="32"/>
          <w:szCs w:val="32"/>
        </w:rPr>
      </w:pPr>
      <w:r>
        <w:rPr>
          <w:rFonts w:hint="eastAsia" w:ascii="黑体" w:hAnsi="黑体" w:eastAsia="黑体"/>
          <w:sz w:val="32"/>
          <w:szCs w:val="32"/>
        </w:rPr>
        <w:t>二、绩效自评工作开展情况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w:t>
      </w:r>
      <w:r>
        <w:rPr>
          <w:rFonts w:hint="eastAsia" w:ascii="仿宋" w:hAnsi="仿宋" w:eastAsia="仿宋" w:cs="仿宋_GB2312"/>
          <w:sz w:val="32"/>
          <w:szCs w:val="32"/>
          <w:lang w:val="en-US" w:eastAsia="zh-CN"/>
        </w:rPr>
        <w:t>省市</w:t>
      </w:r>
      <w:r>
        <w:rPr>
          <w:rFonts w:hint="eastAsia" w:ascii="仿宋" w:hAnsi="仿宋" w:eastAsia="仿宋" w:cs="仿宋_GB2312"/>
          <w:sz w:val="32"/>
          <w:szCs w:val="32"/>
        </w:rPr>
        <w:t>要求，我局责成专人负责绩效评价工作，明确了工作职责、确定了具体的实施时间，形成了自评表和自评报告。</w:t>
      </w:r>
    </w:p>
    <w:p>
      <w:pPr>
        <w:ind w:firstLine="640" w:firstLineChars="200"/>
        <w:rPr>
          <w:rFonts w:ascii="黑体" w:hAnsi="黑体" w:eastAsia="黑体"/>
          <w:sz w:val="32"/>
          <w:szCs w:val="32"/>
        </w:rPr>
      </w:pPr>
      <w:r>
        <w:rPr>
          <w:rFonts w:hint="eastAsia" w:ascii="黑体" w:hAnsi="黑体" w:eastAsia="黑体"/>
          <w:sz w:val="32"/>
          <w:szCs w:val="32"/>
        </w:rPr>
        <w:t>三、综合评价结论</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我局对下拨的</w:t>
      </w:r>
      <w:r>
        <w:rPr>
          <w:rFonts w:hint="eastAsia" w:ascii="仿宋" w:hAnsi="仿宋" w:eastAsia="仿宋" w:cs="仿宋_GB2312"/>
          <w:sz w:val="32"/>
          <w:szCs w:val="32"/>
          <w:lang w:eastAsia="zh-CN"/>
        </w:rPr>
        <w:t>教育培训</w:t>
      </w:r>
      <w:r>
        <w:rPr>
          <w:rFonts w:hint="eastAsia" w:ascii="仿宋" w:hAnsi="仿宋" w:eastAsia="仿宋" w:cs="仿宋_GB2312"/>
          <w:sz w:val="32"/>
          <w:szCs w:val="32"/>
        </w:rPr>
        <w:t>专项资金严格规范管理，按科目规范化使用上级资金，涉及到的补助资金实行社会化发放，由财政局专户按时间节点及时足额的下拨到</w:t>
      </w:r>
      <w:r>
        <w:rPr>
          <w:rFonts w:hint="eastAsia" w:ascii="仿宋" w:hAnsi="仿宋" w:eastAsia="仿宋" w:cs="仿宋_GB2312"/>
          <w:sz w:val="32"/>
          <w:szCs w:val="32"/>
          <w:lang w:eastAsia="zh-CN"/>
        </w:rPr>
        <w:t>承训机构</w:t>
      </w:r>
      <w:r>
        <w:rPr>
          <w:rFonts w:hint="eastAsia" w:ascii="仿宋" w:hAnsi="仿宋" w:eastAsia="仿宋" w:cs="仿宋_GB2312"/>
          <w:sz w:val="32"/>
          <w:szCs w:val="32"/>
        </w:rPr>
        <w:t>银行账号。</w:t>
      </w:r>
    </w:p>
    <w:p>
      <w:pPr>
        <w:ind w:firstLine="640" w:firstLineChars="200"/>
        <w:rPr>
          <w:rFonts w:ascii="黑体" w:hAnsi="黑体" w:eastAsia="黑体"/>
          <w:sz w:val="32"/>
          <w:szCs w:val="32"/>
        </w:rPr>
      </w:pPr>
      <w:r>
        <w:rPr>
          <w:rFonts w:hint="eastAsia" w:ascii="黑体" w:hAnsi="黑体" w:eastAsia="黑体"/>
          <w:sz w:val="32"/>
          <w:szCs w:val="32"/>
        </w:rPr>
        <w:t>四、绩效目标实现情况</w:t>
      </w:r>
    </w:p>
    <w:p>
      <w:pPr>
        <w:ind w:firstLine="643" w:firstLineChars="200"/>
        <w:rPr>
          <w:rFonts w:ascii="仿宋" w:hAnsi="仿宋" w:eastAsia="仿宋" w:cs="仿宋_GB2312"/>
          <w:b/>
          <w:color w:val="000000"/>
          <w:sz w:val="32"/>
          <w:szCs w:val="32"/>
        </w:rPr>
      </w:pPr>
      <w:r>
        <w:rPr>
          <w:rFonts w:hint="eastAsia" w:ascii="仿宋" w:hAnsi="仿宋" w:eastAsia="仿宋" w:cs="仿宋_GB2312"/>
          <w:b/>
          <w:color w:val="000000"/>
          <w:sz w:val="32"/>
          <w:szCs w:val="32"/>
        </w:rPr>
        <w:t>1、资金落实及执行情况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年度我局</w:t>
      </w:r>
      <w:r>
        <w:rPr>
          <w:rFonts w:hint="eastAsia" w:ascii="仿宋" w:hAnsi="仿宋" w:eastAsia="仿宋" w:cs="仿宋_GB2312"/>
          <w:sz w:val="32"/>
          <w:szCs w:val="32"/>
          <w:lang w:val="en-US" w:eastAsia="zh-CN"/>
        </w:rPr>
        <w:t>退役士兵教育培训经费</w:t>
      </w:r>
      <w:r>
        <w:rPr>
          <w:rFonts w:hint="eastAsia" w:ascii="仿宋" w:hAnsi="仿宋" w:eastAsia="仿宋" w:cs="仿宋_GB2312"/>
          <w:sz w:val="32"/>
          <w:szCs w:val="32"/>
        </w:rPr>
        <w:t>总体到位情况良好</w:t>
      </w:r>
      <w:r>
        <w:rPr>
          <w:rFonts w:hint="eastAsia" w:ascii="仿宋" w:hAnsi="仿宋" w:eastAsia="仿宋" w:cs="仿宋_GB2312"/>
          <w:sz w:val="32"/>
          <w:szCs w:val="32"/>
          <w:lang w:eastAsia="zh-CN"/>
        </w:rPr>
        <w:t>，</w:t>
      </w:r>
      <w:r>
        <w:rPr>
          <w:rFonts w:hint="eastAsia" w:ascii="仿宋" w:hAnsi="仿宋" w:eastAsia="仿宋" w:cs="仿宋_GB2312"/>
          <w:sz w:val="32"/>
          <w:szCs w:val="32"/>
        </w:rPr>
        <w:t>共计下拨</w:t>
      </w:r>
      <w:r>
        <w:rPr>
          <w:rFonts w:hint="eastAsia" w:ascii="仿宋" w:hAnsi="仿宋" w:eastAsia="仿宋" w:cs="仿宋_GB2312"/>
          <w:sz w:val="32"/>
          <w:szCs w:val="32"/>
          <w:lang w:eastAsia="zh-CN"/>
        </w:rPr>
        <w:t>中央教育培训经费</w:t>
      </w:r>
      <w:r>
        <w:rPr>
          <w:rFonts w:hint="eastAsia" w:ascii="仿宋" w:hAnsi="仿宋" w:eastAsia="仿宋" w:cs="仿宋_GB2312"/>
          <w:sz w:val="32"/>
          <w:szCs w:val="32"/>
          <w:lang w:val="en-US" w:eastAsia="zh-CN"/>
        </w:rPr>
        <w:t>3.08</w:t>
      </w:r>
      <w:r>
        <w:rPr>
          <w:rFonts w:hint="eastAsia" w:ascii="仿宋" w:hAnsi="仿宋" w:eastAsia="仿宋" w:cs="仿宋_GB2312"/>
          <w:sz w:val="32"/>
          <w:szCs w:val="32"/>
        </w:rPr>
        <w:t>万元。我局的补助资金执行情况良好，</w:t>
      </w:r>
      <w:r>
        <w:rPr>
          <w:rFonts w:hint="eastAsia" w:ascii="仿宋" w:hAnsi="仿宋" w:eastAsia="仿宋" w:cs="仿宋_GB2312"/>
          <w:bCs/>
          <w:color w:val="000000"/>
          <w:sz w:val="32"/>
          <w:szCs w:val="32"/>
        </w:rPr>
        <w:t>项目支出标准、支付依据合规合法。</w:t>
      </w:r>
    </w:p>
    <w:p>
      <w:pPr>
        <w:ind w:left="420" w:leftChars="200" w:firstLine="321" w:firstLineChars="100"/>
        <w:rPr>
          <w:rFonts w:ascii="仿宋" w:hAnsi="仿宋" w:eastAsia="仿宋" w:cs="仿宋_GB2312"/>
          <w:b/>
          <w:bCs/>
          <w:sz w:val="32"/>
          <w:szCs w:val="32"/>
        </w:rPr>
      </w:pPr>
      <w:r>
        <w:rPr>
          <w:rFonts w:hint="eastAsia" w:ascii="仿宋" w:hAnsi="仿宋" w:eastAsia="仿宋" w:cs="仿宋_GB2312"/>
          <w:b/>
          <w:color w:val="000000"/>
          <w:sz w:val="32"/>
          <w:szCs w:val="32"/>
        </w:rPr>
        <w:t>2、</w:t>
      </w:r>
      <w:r>
        <w:rPr>
          <w:rFonts w:hint="eastAsia" w:ascii="仿宋" w:hAnsi="仿宋" w:eastAsia="仿宋" w:cs="仿宋_GB2312"/>
          <w:b/>
          <w:bCs/>
          <w:sz w:val="32"/>
          <w:szCs w:val="32"/>
        </w:rPr>
        <w:t>资金管理进一步规范</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我局</w:t>
      </w:r>
      <w:r>
        <w:rPr>
          <w:rFonts w:hint="eastAsia" w:ascii="仿宋" w:hAnsi="仿宋" w:eastAsia="仿宋" w:cs="仿宋_GB2312"/>
          <w:bCs/>
          <w:color w:val="000000"/>
          <w:sz w:val="32"/>
          <w:szCs w:val="32"/>
        </w:rPr>
        <w:t>对专项资金的安排原则、支持范围和使用进行了规范，财务制度健全，项目资金使用符合相关规定</w:t>
      </w:r>
      <w:r>
        <w:rPr>
          <w:rFonts w:hint="eastAsia" w:ascii="仿宋" w:hAnsi="仿宋" w:eastAsia="仿宋" w:cs="仿宋_GB2312"/>
          <w:sz w:val="32"/>
          <w:szCs w:val="32"/>
        </w:rPr>
        <w:t>，无违反财务管理、财经纪律情况发生。</w:t>
      </w:r>
    </w:p>
    <w:p>
      <w:pPr>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3、项目实施的社会效益和满意度指标完成情况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年度我县共</w:t>
      </w:r>
      <w:r>
        <w:rPr>
          <w:rFonts w:hint="eastAsia" w:ascii="仿宋" w:hAnsi="仿宋" w:eastAsia="仿宋" w:cs="仿宋_GB2312"/>
          <w:sz w:val="32"/>
          <w:szCs w:val="32"/>
          <w:lang w:eastAsia="zh-CN"/>
        </w:rPr>
        <w:t>组织</w:t>
      </w:r>
      <w:r>
        <w:rPr>
          <w:rFonts w:hint="eastAsia" w:ascii="仿宋" w:hAnsi="仿宋" w:eastAsia="仿宋" w:cs="仿宋_GB2312"/>
          <w:sz w:val="32"/>
          <w:szCs w:val="32"/>
          <w:lang w:val="en-US" w:eastAsia="zh-CN"/>
        </w:rPr>
        <w:t>72</w:t>
      </w:r>
      <w:r>
        <w:rPr>
          <w:rFonts w:hint="eastAsia" w:ascii="仿宋" w:hAnsi="仿宋" w:eastAsia="仿宋" w:cs="仿宋_GB2312"/>
          <w:sz w:val="32"/>
          <w:szCs w:val="32"/>
        </w:rPr>
        <w:t>名</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按时</w:t>
      </w:r>
      <w:r>
        <w:rPr>
          <w:rFonts w:hint="eastAsia" w:ascii="仿宋" w:hAnsi="仿宋" w:eastAsia="仿宋" w:cs="仿宋_GB2312"/>
          <w:sz w:val="32"/>
          <w:szCs w:val="32"/>
          <w:lang w:eastAsia="zh-CN"/>
        </w:rPr>
        <w:t>参加了教育培训</w:t>
      </w:r>
      <w:r>
        <w:rPr>
          <w:rFonts w:hint="eastAsia" w:ascii="仿宋" w:hAnsi="仿宋" w:eastAsia="仿宋" w:cs="仿宋_GB2312"/>
          <w:sz w:val="32"/>
          <w:szCs w:val="32"/>
        </w:rPr>
        <w:t>，极大地增强了</w:t>
      </w:r>
      <w:r>
        <w:rPr>
          <w:rFonts w:hint="eastAsia" w:ascii="仿宋" w:hAnsi="仿宋" w:eastAsia="仿宋" w:cs="仿宋_GB2312"/>
          <w:sz w:val="32"/>
          <w:szCs w:val="32"/>
          <w:lang w:val="en-US" w:eastAsia="zh-CN"/>
        </w:rPr>
        <w:t>自主就业退役士兵</w:t>
      </w:r>
      <w:r>
        <w:rPr>
          <w:rFonts w:hint="eastAsia" w:ascii="仿宋" w:hAnsi="仿宋" w:eastAsia="仿宋" w:cs="仿宋_GB2312"/>
          <w:sz w:val="32"/>
          <w:szCs w:val="32"/>
        </w:rPr>
        <w:t>的满意度。</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 xml:space="preserve">           </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玉田</w:t>
      </w:r>
      <w:bookmarkStart w:id="0" w:name="_GoBack"/>
      <w:bookmarkEnd w:id="0"/>
      <w:r>
        <w:rPr>
          <w:rFonts w:hint="eastAsia" w:ascii="仿宋" w:hAnsi="仿宋" w:eastAsia="仿宋" w:cs="仿宋_GB2312"/>
          <w:sz w:val="32"/>
          <w:szCs w:val="32"/>
        </w:rPr>
        <w:t>县退役军人事务局</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7" w:rightFromText="187" w:vertAnchor="text" w:tblpY="1"/>
      <w:tblW w:w="5000" w:type="pct"/>
      <w:tblInd w:w="0" w:type="dxa"/>
      <w:tblLayout w:type="autofit"/>
      <w:tblCellMar>
        <w:top w:w="0" w:type="dxa"/>
        <w:left w:w="108" w:type="dxa"/>
        <w:bottom w:w="0" w:type="dxa"/>
        <w:right w:w="108" w:type="dxa"/>
      </w:tblCellMar>
    </w:tblPr>
    <w:tblGrid>
      <w:gridCol w:w="3835"/>
      <w:gridCol w:w="852"/>
      <w:gridCol w:w="3835"/>
    </w:tblGrid>
    <w:tr>
      <w:tblPrEx>
        <w:tblCellMar>
          <w:top w:w="0" w:type="dxa"/>
          <w:left w:w="108" w:type="dxa"/>
          <w:bottom w:w="0" w:type="dxa"/>
          <w:right w:w="108" w:type="dxa"/>
        </w:tblCellMar>
      </w:tblPrEx>
      <w:trPr>
        <w:trHeight w:val="151" w:hRule="atLeast"/>
      </w:trPr>
      <w:tc>
        <w:tcPr>
          <w:tcW w:w="2250" w:type="pct"/>
          <w:tcBorders>
            <w:bottom w:val="single" w:color="4F81BD" w:themeColor="accent1" w:sz="4" w:space="0"/>
          </w:tcBorders>
        </w:tcPr>
        <w:p>
          <w:pPr>
            <w:pStyle w:val="3"/>
            <w:rPr>
              <w:rFonts w:asciiTheme="majorHAnsi" w:hAnsiTheme="majorHAnsi" w:eastAsiaTheme="majorEastAsia" w:cstheme="majorBidi"/>
              <w:b/>
              <w:bCs/>
            </w:rPr>
          </w:pPr>
        </w:p>
      </w:tc>
      <w:tc>
        <w:tcPr>
          <w:tcW w:w="500" w:type="pct"/>
          <w:vMerge w:val="restart"/>
          <w:noWrap/>
          <w:vAlign w:val="center"/>
        </w:tcPr>
        <w:p>
          <w:pPr>
            <w:pStyle w:val="7"/>
            <w:rPr>
              <w:rFonts w:asciiTheme="majorHAnsi" w:hAnsiTheme="majorHAnsi"/>
            </w:rPr>
          </w:pPr>
          <w:r>
            <w:rPr>
              <w:rFonts w:asciiTheme="majorHAnsi" w:hAnsiTheme="majorHAnsi"/>
              <w:b/>
              <w:lang w:val="zh-CN"/>
            </w:rPr>
            <w:t xml:space="preserve"> </w:t>
          </w:r>
          <w:r>
            <w:fldChar w:fldCharType="begin"/>
          </w:r>
          <w:r>
            <w:instrText xml:space="preserve"> PAGE  \* MERGEFORMAT </w:instrText>
          </w:r>
          <w:r>
            <w:fldChar w:fldCharType="separate"/>
          </w:r>
          <w:r>
            <w:rPr>
              <w:rFonts w:asciiTheme="majorHAnsi" w:hAnsiTheme="majorHAnsi"/>
              <w:b/>
              <w:lang w:val="zh-CN"/>
            </w:rPr>
            <w:t>1</w:t>
          </w:r>
          <w:r>
            <w:rPr>
              <w:rFonts w:asciiTheme="majorHAnsi" w:hAnsiTheme="majorHAnsi"/>
              <w:b/>
              <w:lang w:val="zh-CN"/>
            </w:rPr>
            <w:fldChar w:fldCharType="end"/>
          </w:r>
        </w:p>
      </w:tc>
      <w:tc>
        <w:tcPr>
          <w:tcW w:w="2250" w:type="pct"/>
          <w:tcBorders>
            <w:bottom w:val="single" w:color="4F81BD" w:themeColor="accent1" w:sz="4" w:space="0"/>
          </w:tcBorders>
        </w:tcPr>
        <w:p>
          <w:pPr>
            <w:pStyle w:val="3"/>
            <w:rPr>
              <w:rFonts w:asciiTheme="majorHAnsi" w:hAnsiTheme="majorHAnsi" w:eastAsiaTheme="majorEastAsia" w:cstheme="majorBidi"/>
              <w:b/>
              <w:bCs/>
            </w:rPr>
          </w:pPr>
        </w:p>
      </w:tc>
    </w:tr>
    <w:tr>
      <w:tblPrEx>
        <w:tblCellMar>
          <w:top w:w="0" w:type="dxa"/>
          <w:left w:w="108" w:type="dxa"/>
          <w:bottom w:w="0" w:type="dxa"/>
          <w:right w:w="108" w:type="dxa"/>
        </w:tblCellMar>
      </w:tblPrEx>
      <w:trPr>
        <w:trHeight w:val="150" w:hRule="atLeast"/>
      </w:trPr>
      <w:tc>
        <w:tcPr>
          <w:tcW w:w="2250" w:type="pct"/>
          <w:tcBorders>
            <w:top w:val="single" w:color="4F81BD" w:themeColor="accent1" w:sz="4" w:space="0"/>
          </w:tcBorders>
        </w:tcPr>
        <w:p>
          <w:pPr>
            <w:pStyle w:val="3"/>
            <w:rPr>
              <w:rFonts w:asciiTheme="majorHAnsi" w:hAnsiTheme="majorHAnsi" w:eastAsiaTheme="majorEastAsia" w:cstheme="majorBidi"/>
              <w:b/>
              <w:bCs/>
            </w:rPr>
          </w:pPr>
        </w:p>
      </w:tc>
      <w:tc>
        <w:tcPr>
          <w:tcW w:w="500" w:type="pct"/>
          <w:vMerge w:val="continue"/>
        </w:tcPr>
        <w:p>
          <w:pPr>
            <w:pStyle w:val="3"/>
            <w:jc w:val="center"/>
            <w:rPr>
              <w:rFonts w:asciiTheme="majorHAnsi" w:hAnsiTheme="majorHAnsi" w:eastAsiaTheme="majorEastAsia" w:cstheme="majorBidi"/>
              <w:b/>
              <w:bCs/>
            </w:rPr>
          </w:pPr>
        </w:p>
      </w:tc>
      <w:tc>
        <w:tcPr>
          <w:tcW w:w="2250" w:type="pct"/>
          <w:tcBorders>
            <w:top w:val="single" w:color="4F81BD" w:themeColor="accent1" w:sz="4" w:space="0"/>
          </w:tcBorders>
        </w:tcPr>
        <w:p>
          <w:pPr>
            <w:pStyle w:val="3"/>
            <w:rPr>
              <w:rFonts w:asciiTheme="majorHAnsi" w:hAnsiTheme="majorHAnsi" w:eastAsiaTheme="majorEastAsia" w:cstheme="majorBidi"/>
              <w:b/>
              <w:bCs/>
            </w:rPr>
          </w:pPr>
        </w:p>
      </w:tc>
    </w:tr>
  </w:tbl>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ODk1MmY4MTc0Mjg2NzQ2NzY0N2NmYmQzMmQ3OTUifQ=="/>
  </w:docVars>
  <w:rsids>
    <w:rsidRoot w:val="000C3877"/>
    <w:rsid w:val="000C3877"/>
    <w:rsid w:val="001128EF"/>
    <w:rsid w:val="00116551"/>
    <w:rsid w:val="001B573F"/>
    <w:rsid w:val="002D4713"/>
    <w:rsid w:val="002E6620"/>
    <w:rsid w:val="00416447"/>
    <w:rsid w:val="00423AC9"/>
    <w:rsid w:val="004370C4"/>
    <w:rsid w:val="004C7E46"/>
    <w:rsid w:val="00550AE9"/>
    <w:rsid w:val="005B1831"/>
    <w:rsid w:val="00607F51"/>
    <w:rsid w:val="00637993"/>
    <w:rsid w:val="006622CF"/>
    <w:rsid w:val="006769EE"/>
    <w:rsid w:val="00727D72"/>
    <w:rsid w:val="007A519C"/>
    <w:rsid w:val="007D2599"/>
    <w:rsid w:val="00830A1A"/>
    <w:rsid w:val="00837C86"/>
    <w:rsid w:val="008D16E8"/>
    <w:rsid w:val="009C03C2"/>
    <w:rsid w:val="00AE5EB9"/>
    <w:rsid w:val="00AF6220"/>
    <w:rsid w:val="00B06AA9"/>
    <w:rsid w:val="00C95E8D"/>
    <w:rsid w:val="00CC3B8E"/>
    <w:rsid w:val="00D86601"/>
    <w:rsid w:val="00E30075"/>
    <w:rsid w:val="00F017AE"/>
    <w:rsid w:val="00F1164A"/>
    <w:rsid w:val="00F71EA3"/>
    <w:rsid w:val="068C207C"/>
    <w:rsid w:val="0A537D29"/>
    <w:rsid w:val="0C311399"/>
    <w:rsid w:val="0D2E084D"/>
    <w:rsid w:val="114B53C6"/>
    <w:rsid w:val="11582F0F"/>
    <w:rsid w:val="138D657A"/>
    <w:rsid w:val="1B1317B9"/>
    <w:rsid w:val="1C177A7A"/>
    <w:rsid w:val="293A66C5"/>
    <w:rsid w:val="2B2F2504"/>
    <w:rsid w:val="2D9C5B24"/>
    <w:rsid w:val="2F8D18AE"/>
    <w:rsid w:val="2FDF00BF"/>
    <w:rsid w:val="30BC28E5"/>
    <w:rsid w:val="31554DC6"/>
    <w:rsid w:val="33076A28"/>
    <w:rsid w:val="33AB1A91"/>
    <w:rsid w:val="381E30BE"/>
    <w:rsid w:val="3B5878C5"/>
    <w:rsid w:val="3C8A717F"/>
    <w:rsid w:val="3D1D6763"/>
    <w:rsid w:val="42AE5580"/>
    <w:rsid w:val="47751D60"/>
    <w:rsid w:val="482C0EAF"/>
    <w:rsid w:val="4D3A2A7A"/>
    <w:rsid w:val="4DBB5CC5"/>
    <w:rsid w:val="4FEF7962"/>
    <w:rsid w:val="525962EA"/>
    <w:rsid w:val="539E0EE8"/>
    <w:rsid w:val="5F6940CF"/>
    <w:rsid w:val="62304E2F"/>
    <w:rsid w:val="66CC6433"/>
    <w:rsid w:val="72E13756"/>
    <w:rsid w:val="79195EA5"/>
    <w:rsid w:val="7FF02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styleId="7">
    <w:name w:val="No Spacing"/>
    <w:link w:val="8"/>
    <w:qFormat/>
    <w:uiPriority w:val="1"/>
    <w:rPr>
      <w:rFonts w:asciiTheme="minorHAnsi" w:hAnsiTheme="minorHAnsi" w:eastAsiaTheme="minorEastAsia" w:cstheme="minorBidi"/>
      <w:sz w:val="22"/>
      <w:szCs w:val="22"/>
      <w:lang w:val="en-US" w:eastAsia="zh-CN" w:bidi="ar-SA"/>
    </w:rPr>
  </w:style>
  <w:style w:type="character" w:customStyle="1" w:styleId="8">
    <w:name w:val="无间隔 Char"/>
    <w:basedOn w:val="5"/>
    <w:link w:val="7"/>
    <w:qFormat/>
    <w:uiPriority w:val="1"/>
    <w:rPr>
      <w:rFonts w:asciiTheme="minorHAnsi" w:hAnsiTheme="minorHAnsi" w:eastAsiaTheme="minorEastAsia" w:cstheme="minorBidi"/>
      <w:sz w:val="22"/>
      <w:szCs w:val="22"/>
    </w:rPr>
  </w:style>
  <w:style w:type="character" w:customStyle="1" w:styleId="9">
    <w:name w:val="页眉 Char"/>
    <w:basedOn w:val="5"/>
    <w:link w:val="3"/>
    <w:qFormat/>
    <w:uiPriority w:val="99"/>
    <w:rPr>
      <w:rFonts w:ascii="Calibri" w:hAnsi="Calibri" w:cs="黑体"/>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742</Words>
  <Characters>797</Characters>
  <Lines>5</Lines>
  <Paragraphs>1</Paragraphs>
  <TotalTime>9</TotalTime>
  <ScaleCrop>false</ScaleCrop>
  <LinksUpToDate>false</LinksUpToDate>
  <CharactersWithSpaces>809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2021-03-02T02:37:00Z</dcterms:created>
  <dc:creator>小脚冰凉</dc:creator>
  <cp:lastModifiedBy>Administrator</cp:lastModifiedBy>
  <cp:lastPrinted>2020-04-17T03:08:00Z</cp:lastPrinted>
  <dcterms:modified xsi:type="dcterms:W3CDTF">2024-04-28T07:54:48Z</dcterms:modified>
  <dc:title>小脚冰凉</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BF3D533AED7247CDA8A318426FFE50D6</vt:lpwstr>
  </property>
</Properties>
</file>