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冀财社【2022】219号2022年中央退役安置补助经费预算（第二批）绩效评价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年我县用于</w:t>
      </w:r>
      <w:r>
        <w:rPr>
          <w:rFonts w:hint="eastAsia" w:ascii="仿宋" w:hAnsi="仿宋" w:eastAsia="仿宋" w:cs="仿宋_GB2312"/>
          <w:sz w:val="32"/>
          <w:szCs w:val="32"/>
          <w:lang w:val="en-US" w:eastAsia="zh-CN"/>
        </w:rPr>
        <w:t>退役士兵教育培训</w:t>
      </w:r>
      <w:r>
        <w:rPr>
          <w:rFonts w:hint="eastAsia" w:ascii="仿宋" w:hAnsi="仿宋" w:eastAsia="仿宋" w:cs="仿宋_GB2312"/>
          <w:sz w:val="32"/>
          <w:szCs w:val="32"/>
        </w:rPr>
        <w:t>经费</w:t>
      </w:r>
      <w:r>
        <w:rPr>
          <w:rFonts w:hint="eastAsia" w:ascii="仿宋" w:hAnsi="仿宋" w:eastAsia="仿宋" w:cs="仿宋_GB2312"/>
          <w:sz w:val="32"/>
          <w:szCs w:val="32"/>
          <w:lang w:eastAsia="zh-CN"/>
        </w:rPr>
        <w:t>（中央）</w:t>
      </w:r>
      <w:r>
        <w:rPr>
          <w:rFonts w:hint="eastAsia" w:ascii="仿宋" w:hAnsi="仿宋" w:eastAsia="仿宋" w:cs="仿宋_GB2312"/>
          <w:sz w:val="32"/>
          <w:szCs w:val="32"/>
        </w:rPr>
        <w:t>共计</w:t>
      </w:r>
      <w:r>
        <w:rPr>
          <w:rFonts w:hint="eastAsia" w:ascii="仿宋" w:hAnsi="仿宋" w:eastAsia="仿宋" w:cs="仿宋_GB2312"/>
          <w:sz w:val="32"/>
          <w:szCs w:val="32"/>
          <w:lang w:val="en-US" w:eastAsia="zh-CN"/>
        </w:rPr>
        <w:t>7.76</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退役士兵教育培训经费</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教育培训</w:t>
      </w:r>
      <w:r>
        <w:rPr>
          <w:rFonts w:hint="eastAsia" w:ascii="仿宋" w:hAnsi="仿宋" w:eastAsia="仿宋" w:cs="仿宋_GB2312"/>
          <w:sz w:val="32"/>
          <w:szCs w:val="32"/>
        </w:rPr>
        <w:t>专项资金严格规范管理，按科目规范化使用上级资金，涉及到的补助资金实行社会化发放，由财政局专户按时间节点及时足额的下拨到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承训机构</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退役士兵教育培训经费</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教育培训</w:t>
      </w:r>
      <w:r>
        <w:rPr>
          <w:rFonts w:hint="eastAsia" w:ascii="仿宋" w:hAnsi="仿宋" w:eastAsia="仿宋" w:cs="仿宋_GB2312"/>
          <w:sz w:val="32"/>
          <w:szCs w:val="32"/>
          <w:lang w:val="en-US" w:eastAsia="zh-CN"/>
        </w:rPr>
        <w:t>7.76</w:t>
      </w:r>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组织</w:t>
      </w:r>
      <w:r>
        <w:rPr>
          <w:rFonts w:hint="eastAsia" w:ascii="仿宋" w:hAnsi="仿宋" w:eastAsia="仿宋" w:cs="仿宋_GB2312"/>
          <w:sz w:val="32"/>
          <w:szCs w:val="32"/>
          <w:lang w:val="en-US" w:eastAsia="zh-CN"/>
        </w:rPr>
        <w:t>72</w:t>
      </w:r>
      <w:r>
        <w:rPr>
          <w:rFonts w:hint="eastAsia" w:ascii="仿宋" w:hAnsi="仿宋" w:eastAsia="仿宋" w:cs="仿宋_GB2312"/>
          <w:sz w:val="32"/>
          <w:szCs w:val="32"/>
        </w:rPr>
        <w:t>名</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按时</w:t>
      </w:r>
      <w:r>
        <w:rPr>
          <w:rFonts w:hint="eastAsia" w:ascii="仿宋" w:hAnsi="仿宋" w:eastAsia="仿宋" w:cs="仿宋_GB2312"/>
          <w:sz w:val="32"/>
          <w:szCs w:val="32"/>
          <w:lang w:eastAsia="zh-CN"/>
        </w:rPr>
        <w:t>参加了教育培训</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w:t>
      </w:r>
      <w:bookmarkStart w:id="0" w:name="_GoBack"/>
      <w:bookmarkEnd w:id="0"/>
      <w:r>
        <w:rPr>
          <w:rFonts w:hint="eastAsia" w:ascii="仿宋" w:hAnsi="仿宋" w:eastAsia="仿宋" w:cs="仿宋_GB2312"/>
          <w:sz w:val="32"/>
          <w:szCs w:val="32"/>
        </w:rPr>
        <w:t>田县退役军人事务局</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A537D29"/>
    <w:rsid w:val="0C311399"/>
    <w:rsid w:val="0D2E084D"/>
    <w:rsid w:val="114B53C6"/>
    <w:rsid w:val="11582F0F"/>
    <w:rsid w:val="127805B2"/>
    <w:rsid w:val="138D657A"/>
    <w:rsid w:val="1B1317B9"/>
    <w:rsid w:val="1C177A7A"/>
    <w:rsid w:val="293A66C5"/>
    <w:rsid w:val="2B2F2504"/>
    <w:rsid w:val="2D9C5B24"/>
    <w:rsid w:val="2F8D18AE"/>
    <w:rsid w:val="2FDF00BF"/>
    <w:rsid w:val="30BC28E5"/>
    <w:rsid w:val="33076A28"/>
    <w:rsid w:val="33AB1A91"/>
    <w:rsid w:val="381E30BE"/>
    <w:rsid w:val="3B5878C5"/>
    <w:rsid w:val="3C8A717F"/>
    <w:rsid w:val="3D1D6763"/>
    <w:rsid w:val="42AE5580"/>
    <w:rsid w:val="47751D60"/>
    <w:rsid w:val="482C0EAF"/>
    <w:rsid w:val="4D3A2A7A"/>
    <w:rsid w:val="4DBB5CC5"/>
    <w:rsid w:val="4FEF7962"/>
    <w:rsid w:val="525962EA"/>
    <w:rsid w:val="539E0EE8"/>
    <w:rsid w:val="5F6940CF"/>
    <w:rsid w:val="62304E2F"/>
    <w:rsid w:val="66CC6433"/>
    <w:rsid w:val="72E13756"/>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8</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2024-04-28T08:02:31Z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BF3D533AED7247CDA8A318426FFE50D6</vt:lpwstr>
  </property>
</Properties>
</file>