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西王庄村信访遗留问题所需工作经费</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西王庄村信访遗留问题所需工作经费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西王庄村信访遗留问题所需工作经费经费，预算</w:t>
      </w:r>
      <w:r>
        <w:rPr>
          <w:rFonts w:hint="eastAsia" w:ascii="仿宋_GB2312" w:eastAsia="仿宋_GB2312"/>
          <w:sz w:val="32"/>
          <w:szCs w:val="32"/>
          <w:lang w:val="en-US" w:eastAsia="zh-CN"/>
        </w:rPr>
        <w:t>58万，支出58万。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涉及信访问题个数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保证处理问题工作及时开展</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信访问题处理时间</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 xml:space="preserve">处理问题涉及成本 </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问题处理后对经济环境的影响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问题处理后对社会环境的影响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问题处理后对</w:t>
            </w:r>
            <w:bookmarkStart w:id="0" w:name="_GoBack"/>
            <w:bookmarkEnd w:id="0"/>
            <w:r>
              <w:rPr>
                <w:rFonts w:hint="eastAsia" w:ascii="宋体" w:hAnsi="宋体" w:eastAsia="宋体" w:cs="宋体"/>
                <w:i w:val="0"/>
                <w:color w:val="000000"/>
                <w:kern w:val="0"/>
                <w:sz w:val="18"/>
                <w:szCs w:val="18"/>
                <w:u w:val="none"/>
                <w:lang w:val="en-US" w:eastAsia="zh-CN" w:bidi="ar"/>
              </w:rPr>
              <w:t>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建立健全长效机制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全部用于西王庄村信访遗留问题所需工作经费所需支出。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79870A7"/>
    <w:rsid w:val="29C6676E"/>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CEB3B63"/>
    <w:rsid w:val="4F1851C3"/>
    <w:rsid w:val="4F34748A"/>
    <w:rsid w:val="51D879E2"/>
    <w:rsid w:val="520C430F"/>
    <w:rsid w:val="5751490C"/>
    <w:rsid w:val="57A15D8A"/>
    <w:rsid w:val="581C04DD"/>
    <w:rsid w:val="58F41ECE"/>
    <w:rsid w:val="5B5558A2"/>
    <w:rsid w:val="5D4951AC"/>
    <w:rsid w:val="60DB402C"/>
    <w:rsid w:val="60E1436C"/>
    <w:rsid w:val="63AA367F"/>
    <w:rsid w:val="63AF0C61"/>
    <w:rsid w:val="64BD290F"/>
    <w:rsid w:val="65C25095"/>
    <w:rsid w:val="67DE37EB"/>
    <w:rsid w:val="68E91DAB"/>
    <w:rsid w:val="6A7572D2"/>
    <w:rsid w:val="6EB1152B"/>
    <w:rsid w:val="71507938"/>
    <w:rsid w:val="750A0FE2"/>
    <w:rsid w:val="77964294"/>
    <w:rsid w:val="7E732A3B"/>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2024-04-22T07:41:58Z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