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西王庄征地费用</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西王庄征地费用</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西关村与西王庄征地费用经费，预算</w:t>
      </w:r>
      <w:r>
        <w:rPr>
          <w:rFonts w:hint="eastAsia" w:ascii="仿宋_GB2312" w:eastAsia="仿宋_GB2312"/>
          <w:sz w:val="32"/>
          <w:szCs w:val="32"/>
          <w:lang w:val="en-US" w:eastAsia="zh-CN"/>
        </w:rPr>
        <w:t>241.6万，支出241.6万。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租地完成时限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绿化租地成本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绿化总规模</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bookmarkStart w:id="0" w:name="_GoBack"/>
            <w:bookmarkEnd w:id="0"/>
            <w:r>
              <w:rPr>
                <w:rFonts w:hint="eastAsia" w:ascii="宋体" w:hAnsi="宋体" w:eastAsia="宋体" w:cs="宋体"/>
                <w:i w:val="0"/>
                <w:color w:val="000000"/>
                <w:kern w:val="0"/>
                <w:sz w:val="18"/>
                <w:szCs w:val="18"/>
                <w:u w:val="none"/>
                <w:lang w:val="en-US" w:eastAsia="zh-CN" w:bidi="ar"/>
              </w:rPr>
              <w:t>绿化对环境产生积极影响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项目持续发挥作用期限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用户满意度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全部用于西王庄征地费用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1A175C2"/>
    <w:rsid w:val="320D2642"/>
    <w:rsid w:val="32BF06CD"/>
    <w:rsid w:val="3445249E"/>
    <w:rsid w:val="347D3951"/>
    <w:rsid w:val="350B73DD"/>
    <w:rsid w:val="36D30C1B"/>
    <w:rsid w:val="3A9354E3"/>
    <w:rsid w:val="3AE40318"/>
    <w:rsid w:val="3C4F0D1C"/>
    <w:rsid w:val="3C687742"/>
    <w:rsid w:val="3DA86A5D"/>
    <w:rsid w:val="3F3E0944"/>
    <w:rsid w:val="413330CE"/>
    <w:rsid w:val="44614655"/>
    <w:rsid w:val="4595474B"/>
    <w:rsid w:val="47DB1E0C"/>
    <w:rsid w:val="49D67DF9"/>
    <w:rsid w:val="4A6C35F4"/>
    <w:rsid w:val="4BAF7503"/>
    <w:rsid w:val="51D879E2"/>
    <w:rsid w:val="520C430F"/>
    <w:rsid w:val="5751490C"/>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1</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2024-04-22T06:55:38Z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