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冀财农【2022】163号陶官屯村2023年一事一议财政奖补项目项目</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冀财农【2022】163号陶官屯村2023年一事一议财政奖补项目项目</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冀财农【2022】163号陶官屯村2023年一事一议财政奖补项目项目经费，预算</w:t>
      </w:r>
      <w:r>
        <w:rPr>
          <w:rFonts w:hint="eastAsia" w:ascii="仿宋_GB2312" w:eastAsia="仿宋_GB2312"/>
          <w:sz w:val="32"/>
          <w:szCs w:val="32"/>
          <w:lang w:val="en-US" w:eastAsia="zh-CN"/>
        </w:rPr>
        <w:t>15万，支出15万。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安装路灯盏数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安装质量要求</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确保项目及时完成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对周边群众出行的影响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提升周边群众的幸福指数</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全部用于冀财农【2022】163号陶官屯村2023年一事一议财政奖补项目所需支出。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79870A7"/>
    <w:rsid w:val="29C6676E"/>
    <w:rsid w:val="2A4D2C28"/>
    <w:rsid w:val="2C575000"/>
    <w:rsid w:val="2EF7398F"/>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CEB3B63"/>
    <w:rsid w:val="4F1851C3"/>
    <w:rsid w:val="4F34748A"/>
    <w:rsid w:val="51D879E2"/>
    <w:rsid w:val="520C430F"/>
    <w:rsid w:val="52BD7CE2"/>
    <w:rsid w:val="5751490C"/>
    <w:rsid w:val="57A15D8A"/>
    <w:rsid w:val="581C04DD"/>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2024-04-22T07:45:27Z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