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三中北侧东关村拆迁区征地补偿及差价款</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三中北侧东关村拆迁区征地补偿及差价款</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三中北侧东关村拆迁区征地补偿及差价款经费，预算</w:t>
      </w:r>
      <w:r>
        <w:rPr>
          <w:rFonts w:hint="eastAsia" w:ascii="仿宋_GB2312" w:eastAsia="仿宋_GB2312"/>
          <w:sz w:val="32"/>
          <w:szCs w:val="32"/>
          <w:lang w:val="en-US" w:eastAsia="zh-CN"/>
        </w:rPr>
        <w:t>392.85万，支出392.85万。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保证拆迁工作按序开展</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保证拆迁工作按时完成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拆迁成本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拆迁对周边经济的影响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拆迁对周边社会环境的影响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拆迁对周边生态环境的影响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长期使用性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全部用于三中北侧东关村拆迁区征地补偿及差价款所需支出。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8F41ECE"/>
    <w:rsid w:val="5B5558A2"/>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2024-04-22T07:27:04Z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