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村级组织运转</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村级组织运转经费项目是为我镇村组织运转划拨的专项经费，用于村委会的日常开销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村级组织运转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村级组织运转</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村级组织运转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村级组织运转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numId w:val="0"/>
        </w:numPr>
        <w:spacing w:line="600" w:lineRule="exact"/>
        <w:ind w:leftChars="200"/>
        <w:rPr>
          <w:rFonts w:hint="eastAsia" w:eastAsia="黑体"/>
          <w:sz w:val="32"/>
          <w:szCs w:val="32"/>
        </w:rPr>
      </w:pPr>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
    <w:p/>
    <w:p/>
    <w:p/>
    <w:p/>
    <w:p/>
    <w:p/>
    <w:p/>
    <w:p/>
    <w:p/>
    <w:p/>
    <w:p/>
    <w:p/>
    <w:p/>
    <w:p/>
    <w:p/>
    <w:p/>
    <w:p/>
    <w:p/>
    <w:p/>
    <w:p/>
    <w:p/>
    <w:p/>
    <w:p/>
    <w:p/>
    <w:p/>
    <w:p/>
    <w:p/>
    <w:p/>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2</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村党组活动经费-村党员培训等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村党组活动经费-村党员培训等项目是为我镇村组织运转划拨的专项经费，用于村委会的日常开销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村党组织运转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村党组活动经费-村党员培训等</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村党组织运转</w:t>
      </w:r>
      <w:r>
        <w:rPr>
          <w:rFonts w:hint="eastAsia" w:ascii="仿宋_GB2312" w:eastAsia="仿宋_GB2312"/>
          <w:sz w:val="32"/>
          <w:szCs w:val="32"/>
        </w:rPr>
        <w:t>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村党组织运转</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3</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村保洁员补助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村保洁员补助项目是为我镇村保洁员支付补助划拨的专项经费，用于支付村级保洁员的工资</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保洁员工作</w:t>
      </w:r>
      <w:r>
        <w:rPr>
          <w:rFonts w:hint="eastAsia" w:ascii="仿宋_GB2312" w:eastAsia="仿宋_GB2312"/>
          <w:sz w:val="32"/>
          <w:szCs w:val="32"/>
        </w:rPr>
        <w:t>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村保洁员补助</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我镇保洁员日常工作的积极性和效率</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村级保洁员工资能够正常发放</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4</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村垃圾清运及焚烧项目是为我镇村级垃圾清运与焚烧工作划拨的专项经费，用于支付村级垃圾清运及焚烧产生的费用</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w:t>
      </w:r>
      <w:r>
        <w:rPr>
          <w:rFonts w:hint="eastAsia" w:ascii="仿宋_GB2312" w:eastAsia="仿宋_GB2312"/>
          <w:sz w:val="32"/>
          <w:szCs w:val="32"/>
          <w:lang w:eastAsia="zh-CN"/>
        </w:rPr>
        <w:t>村级垃圾转运</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村垃圾清运及焚烧</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村庄卫生环境的常态化整洁</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村庄内垃圾及时清运，保证了村庄环境，减少了病虫害传播</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5</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会计、计生小组长、村民小组长、河长、护林防火员等误工补贴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会计、计生小组长、村民小组长、河长、护林防火员等误工补贴项目是为我镇会计、计生小组长、村民小组长、河长、护林防火员等误工补贴划拨的专项经费，用于支付会计、计生小组长、村民小组长、河长、护林防火员误工补贴</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会计、计生小组长、村民小组长、河长、护林防火员</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会计、计生小组长、村民小组长、河长、护林防火员等误工补贴</w:t>
      </w:r>
      <w:r>
        <w:rPr>
          <w:rFonts w:hint="eastAsia" w:ascii="仿宋_GB2312" w:eastAsia="仿宋_GB2312"/>
          <w:sz w:val="32"/>
          <w:szCs w:val="32"/>
        </w:rPr>
        <w:t>，贯穿全年。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（三）项目产出情况。确保了镇会计、计生小组长、村民小组长、河长、护林防火员</w:t>
      </w:r>
      <w:r>
        <w:rPr>
          <w:rFonts w:hint="eastAsia" w:ascii="仿宋_GB2312" w:eastAsia="仿宋_GB2312"/>
          <w:sz w:val="32"/>
          <w:szCs w:val="32"/>
          <w:lang w:eastAsia="zh-CN"/>
        </w:rPr>
        <w:t>等工作的开展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会计、计生小组长、村民小组长、河长、护林防火员等误工补贴的按时发放</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6</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信访维稳项目是为我镇信访维稳划拨的专项经费，用于信访差旅费和信访问题解决的专项经费</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信访维稳</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信访维稳</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（三）项目产出情况。确保了镇信访维稳</w:t>
      </w:r>
      <w:r>
        <w:rPr>
          <w:rFonts w:hint="eastAsia" w:ascii="仿宋_GB2312" w:eastAsia="仿宋_GB2312"/>
          <w:sz w:val="32"/>
          <w:szCs w:val="32"/>
          <w:lang w:eastAsia="zh-CN"/>
        </w:rPr>
        <w:t>工作的正常开展</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信访问题的解决效率</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7</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信访工作所需经费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信访工作所需经费项目是为我镇解决信访个性问题转划拨的专项经费。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w:t>
      </w:r>
      <w:r>
        <w:rPr>
          <w:rFonts w:hint="eastAsia" w:ascii="仿宋_GB2312" w:eastAsia="仿宋_GB2312"/>
          <w:sz w:val="32"/>
          <w:szCs w:val="32"/>
          <w:lang w:eastAsia="zh-CN"/>
        </w:rPr>
        <w:t>信访</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信访工作所需经费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信访个性问题的解决</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全镇信访稳定，有利于信访维稳工作的开展</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8</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信访维稳</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信访维稳项目是为我镇信访维稳划拨的专项经费，用于信访差旅费和信访问题解决的专项经费</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信访维稳</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信访维稳</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（三）项目产出情况。确保了镇信访维稳</w:t>
      </w:r>
      <w:r>
        <w:rPr>
          <w:rFonts w:hint="eastAsia" w:ascii="仿宋_GB2312" w:eastAsia="仿宋_GB2312"/>
          <w:sz w:val="32"/>
          <w:szCs w:val="32"/>
          <w:lang w:eastAsia="zh-CN"/>
        </w:rPr>
        <w:t>工作的正常开展</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信访问题的解决效率</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9</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村垃圾清运及焚烧</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村垃圾清运及焚烧项目是为我镇村级垃圾清运与焚烧工作划拨的专项经费，用于支付村级垃圾清运及焚烧产生的费用</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w:t>
      </w:r>
      <w:r>
        <w:rPr>
          <w:rFonts w:hint="eastAsia" w:ascii="仿宋_GB2312" w:eastAsia="仿宋_GB2312"/>
          <w:sz w:val="32"/>
          <w:szCs w:val="32"/>
          <w:lang w:eastAsia="zh-CN"/>
        </w:rPr>
        <w:t>村级垃圾转运</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村垃圾清运及焚烧</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村庄卫生环境的常态化整洁</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村庄内垃圾及时清运，保证了村庄环境，减少了病虫害传播</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10</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县级专项工作经费项目是为我镇差旅、劳务办公划拨的专项经费，用于维持机关运转的日常开销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机关运转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县级专项工作经费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11</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县级专项工作经费项目是为我镇差旅、劳务办公划拨的专项经费，用于维持机关运转的日常开销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机关运转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县级专项工作经费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12</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县级专项工作经费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县级专项工作经费项目是为我镇差旅、劳务办公划拨的专项经费，用于维持机关运转的日常开销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机关运转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县级专项工作经费</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我镇办公运转</w:t>
      </w:r>
      <w:r>
        <w:rPr>
          <w:rFonts w:hint="eastAsia" w:ascii="仿宋_GB2312" w:eastAsia="仿宋_GB2312"/>
          <w:sz w:val="32"/>
          <w:szCs w:val="32"/>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13</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安保、环保、安全生产、食药监管项目支出绩效评价报告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（一）项目概况。安保、环保、安全生产、食药监管项目是为我镇设立的专项补助经费，主要用于保障安保、环保、安全生产、食药监管工作顺利开展。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（二）项目绩效目标。总体绩效目标是确保我镇安保、环保、安全生产、食药监管工作顺利展开，有足够的人员等进行政策落实工作。阶段性目标是按照季节及政策环境的变化能够分阶段开展工作。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（二）项目过程情况。安保、环保、安全生产、食药监管项目为项目，贯穿全年。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（三）项目产出情况。确保了镇区安保、环保、安全生产、食药监管及机关运行秩序。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（四）项目效益情况。确保了镇区安保、环保、安全生产、食药监管及机关运行秩序。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
    <w:p/>
    <w:p/>
    <w:p/>
    <w:p/>
    <w:p/>
    <w:p/>
    <w:p/>
    <w:p/>
    <w:p/>
    <w:p/>
    <w:p/>
    <w:p/>
    <w:p/>
    <w:p/>
    <w:p/>
    <w:p/>
    <w:p/>
    <w:p/>
    <w:p/>
    <w:p/>
    <w:p/>
    <w:p/>
    <w:p/>
    <w:p/>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14</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党团妇建设、纪检、宣传、人武经费项目支出绩效评价报告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（一）项目概况。党团妇建设、纪检、宣传、人武经费项目是为我镇设立的专项补助经费，主要用于保障党团妇建设、纪检、宣传、人武经费工作顺利开展。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（二）项目绩效目标。总体绩效目标是确保我镇党团妇建设、纪检、宣传、人武工作顺利展开，有足够的人员等进行政策落实工作。阶段性目标是按照季节及政策环境的变化能够分阶段开展工作。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（二）项目过程情况。党团妇建设、纪检、宣传、人武经费项目为项目，贯穿全年。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（三）项目产出情况。确保了镇区党团妇建设、纪检、宣传、人武及机关运行秩序。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（四）项目效益情况。确保了镇区党团妇建设、纪检、宣传、人武及机关运行秩序。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val="en-US" w:eastAsia="zh-CN"/>
        </w:rPr>
        <w:t>项目15</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乡村振兴、人居环境整治、脱贫攻坚等项目支出绩效评价报告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（一）项目概况。乡村振兴、人居环境整治、脱贫攻坚等项目是为我镇设立的专项补助经费，主要用于保障乡村振兴、人居环境整治、脱贫攻坚等工作顺利开展。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（二）项目绩效目标。总体绩效目标是确保我镇乡村振兴、人居环境整治、脱贫攻坚等工作顺利展开，有足够的人员等进行政策落实工作。阶段性目标是按照季节及政策环境的变化能够分阶段开展工作。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（二）项目过程情况。乡村振兴、人居环境整治、脱贫攻坚等项目为项目，贯穿全年。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（三）项目产出情况。确保了镇区乡村振兴、人居环境整治、脱贫攻坚等及机关运行秩序。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（四）项目效益情况。确保了镇区乡村振兴、人居环境整治、脱贫攻坚等及机关运行秩序。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val="en-US" w:eastAsia="zh-CN"/>
        </w:rPr>
        <w:t>项目16</w:t>
      </w: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乡镇人大工作站经费项目支出绩效评价报告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（一）项目概况。乡镇人大工作站经费项目是为我镇设立的专项补助经费，主要用于保障乡镇人大工作站经费工作顺利开展。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（二）项目绩效目标。总体绩效目标是确保我镇乡镇人大工作站经费工作顺利展开，有足够的人员等进行政策落实工作。阶段性目标是按照季节及政策环境的变化能够分阶段开展工作。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（二）项目过程情况。项目为乡镇人大工作站经费项目，贯穿全年。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（三）项目产出情况。确保了镇区乡镇人大工作站经费及机关运行秩序。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（四）项目效益情况。确保了镇区乡镇人大工作站经费及机关运行秩序。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val="en-US" w:eastAsia="zh-CN"/>
        </w:rPr>
        <w:t>项目17</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冀财预[2022]85号石臼窝镇芝麻窝村革命老区道路建设项目</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冀财预[2022]85号石臼窝镇芝麻窝村革命老区道路建设项目项目是为我镇老区改造拨付的项目补助资金</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石臼窝镇芝麻窝村革命老区道路建设项目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冀财预[2022]85号石臼窝镇芝麻窝村革命老区道路建设项目</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为芝麻窝村修建村庄道路及桥梁</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w:t>
      </w:r>
      <w:r>
        <w:rPr>
          <w:rFonts w:hint="eastAsia" w:ascii="仿宋_GB2312" w:eastAsia="仿宋_GB2312"/>
          <w:sz w:val="32"/>
          <w:szCs w:val="32"/>
          <w:lang w:eastAsia="zh-CN"/>
        </w:rPr>
        <w:t>村庄道路建设速度及质量</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18</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冀财预[2022]85号石臼窝镇大太平庄革命老区道路建设项目</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冀财预[2022]85号石臼窝镇大太平庄革命老区道路建设项目项目是为我镇大太平庄革命老区道路建设项目专项经费，用于村委会的日常开销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大太平庄革命老区道路建设项目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冀财预[2022]85号石臼窝镇大太平庄革命老区道路建设项目</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修建了大太平庄村村内道路</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老区建设的有序进行</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19</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王铁铺、石臼窝村农村公益事业建设财政奖补</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王铁铺、石臼窝村农村公益事业建设财政奖补项目是为我镇王铁铺、石臼窝村农村公益事业建设即一事一议路灯安装工作给予的专项经费，用于支付一事一议项目工程款</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王铁铺、石臼窝村农村公益事业</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王铁铺、石臼窝村农村公益事业建设财政奖补</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（三）项目产出情况。确保了王铁铺、石臼窝村农村公益事业</w:t>
      </w:r>
      <w:r>
        <w:rPr>
          <w:rFonts w:hint="eastAsia" w:ascii="仿宋_GB2312" w:eastAsia="仿宋_GB2312"/>
          <w:sz w:val="32"/>
          <w:szCs w:val="32"/>
          <w:lang w:eastAsia="zh-CN"/>
        </w:rPr>
        <w:t>建设顺利进行</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w:t>
      </w:r>
      <w:r>
        <w:rPr>
          <w:rFonts w:hint="eastAsia" w:ascii="仿宋_GB2312" w:eastAsia="仿宋_GB2312"/>
          <w:sz w:val="32"/>
          <w:szCs w:val="32"/>
          <w:lang w:eastAsia="zh-CN"/>
        </w:rPr>
        <w:t>农村人居环境的改善</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20</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冀财农[2022]144号芝麻窝村2023一事一议财政奖补</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冀财农[2022]144号芝麻窝村2023一事一议财政奖补项目是为我镇芝麻窝村一事一议项目划拨的专项经费，用于支付项目工程款</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芝麻窝村2023一事一议</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冀财农[2022]144号芝麻窝村2023一事一议财政奖补</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w:t>
      </w:r>
      <w:r>
        <w:rPr>
          <w:rFonts w:hint="eastAsia" w:ascii="仿宋_GB2312" w:eastAsia="仿宋_GB2312"/>
          <w:sz w:val="32"/>
          <w:szCs w:val="32"/>
          <w:lang w:eastAsia="zh-CN"/>
        </w:rPr>
        <w:t>芝麻窝村一事一议项目的开展</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r>
        <w:rPr>
          <w:rFonts w:hint="eastAsia" w:ascii="仿宋_GB2312" w:eastAsia="仿宋_GB2312"/>
          <w:sz w:val="32"/>
          <w:szCs w:val="32"/>
          <w:lang w:eastAsia="zh-CN"/>
        </w:rPr>
        <w:t>改善了芝麻窝村人居环境</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eastAsia" w:ascii="方正小标宋_GBK" w:hAnsi="宋体" w:eastAsia="方正小标宋_GBK" w:cs="宋体"/>
          <w:b/>
          <w:bCs w:val="0"/>
          <w:kern w:val="0"/>
          <w:sz w:val="20"/>
          <w:szCs w:val="20"/>
          <w:lang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eastAsia="zh-CN"/>
        </w:rPr>
        <w:t>项目</w:t>
      </w:r>
      <w:r>
        <w:rPr>
          <w:rFonts w:hint="eastAsia" w:ascii="方正小标宋_GBK" w:hAnsi="宋体" w:eastAsia="方正小标宋_GBK" w:cs="宋体"/>
          <w:b/>
          <w:bCs w:val="0"/>
          <w:kern w:val="0"/>
          <w:sz w:val="20"/>
          <w:szCs w:val="20"/>
          <w:lang w:val="en-US" w:eastAsia="zh-CN"/>
        </w:rPr>
        <w:t>21</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农村</w:t>
      </w:r>
      <w:r>
        <w:rPr>
          <w:rFonts w:hint="eastAsia" w:ascii="方正小标宋_GBK" w:hAnsi="宋体" w:eastAsia="方正小标宋_GBK" w:cs="宋体"/>
          <w:bCs/>
          <w:kern w:val="0"/>
          <w:sz w:val="44"/>
          <w:szCs w:val="44"/>
        </w:rPr>
        <w:t>人饮井项目支出绩效评价报告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农村</w:t>
      </w:r>
      <w:r>
        <w:rPr>
          <w:rFonts w:hint="eastAsia" w:ascii="仿宋_GB2312" w:eastAsia="仿宋_GB2312"/>
          <w:sz w:val="32"/>
          <w:szCs w:val="32"/>
        </w:rPr>
        <w:t>人饮井项目是为我镇设立的专项补助经费，主要用于保障人饮井更新工作顺利开展。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（二）项目绩效目标。总体绩效目标是确保我镇人饮井更新工作顺利展开，有足够的人员等进行政策落实工作。阶段性目标是按照季节及政策环境的变化能够分阶段开展工作。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（二）项目过程情况。项目为人饮井更新项目，贯穿全年。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（三）项目产出情况。确保了镇区2022年人饮井更新及机关运行秩序。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（四）项目效益情况。确保了镇区2022年人饮井更新及机关运行秩序。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center"/>
        <w:rPr>
          <w:rFonts w:hint="eastAsia" w:ascii="方正小标宋_GBK" w:hAnsi="宋体" w:eastAsia="方正小标宋_GBK" w:cs="宋体"/>
          <w:bCs/>
          <w:kern w:val="0"/>
          <w:sz w:val="44"/>
          <w:szCs w:val="44"/>
          <w:lang w:eastAsia="zh-CN"/>
        </w:rPr>
      </w:pPr>
    </w:p>
    <w:p>
      <w:pPr>
        <w:widowControl/>
        <w:spacing w:line="600" w:lineRule="exact"/>
        <w:jc w:val="left"/>
        <w:rPr>
          <w:rFonts w:hint="eastAsia" w:ascii="方正小标宋_GBK" w:hAnsi="宋体" w:eastAsia="方正小标宋_GBK" w:cs="宋体"/>
          <w:bCs/>
          <w:kern w:val="0"/>
          <w:sz w:val="44"/>
          <w:szCs w:val="44"/>
          <w:lang w:eastAsia="zh-CN"/>
        </w:rPr>
      </w:pPr>
      <w:r>
        <w:rPr>
          <w:rFonts w:hint="eastAsia" w:ascii="方正小标宋_GBK" w:hAnsi="宋体" w:eastAsia="方正小标宋_GBK" w:cs="宋体"/>
          <w:b/>
          <w:bCs w:val="0"/>
          <w:kern w:val="0"/>
          <w:sz w:val="20"/>
          <w:szCs w:val="20"/>
          <w:lang w:val="en-US" w:eastAsia="zh-CN"/>
        </w:rPr>
        <w:t>项目22</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村公共卫生防疫项目支出绩效评价报告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（一）项目概况。村公共卫生防疫项目是为我镇设立的专项补助经费，主要用于保障村公共卫生防疫工作顺利开展。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（二）项目绩效目标。总体绩效目标是确保我镇村公共卫生防疫工作顺利展开，有足够的人员等进行政策落实工作。阶段性目标是按照季节及政策环境的变化能够分阶段开展工作。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（二）项目过程情况。村公共卫生防疫项目为项目，贯穿全年。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（三）项目产出情况。确保了镇区村公共卫生防疫及机关运行秩序。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（四）项目效益情况。确保了镇区村公共卫生防疫及机关运行秩序。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default" w:ascii="方正小标宋_GBK" w:hAnsi="宋体" w:eastAsia="方正小标宋_GBK" w:cs="宋体"/>
          <w:b/>
          <w:bCs w:val="0"/>
          <w:kern w:val="0"/>
          <w:sz w:val="20"/>
          <w:szCs w:val="20"/>
          <w:lang w:val="en-US" w:eastAsia="zh-CN"/>
        </w:rPr>
      </w:pPr>
      <w:r>
        <w:rPr>
          <w:rFonts w:hint="eastAsia" w:ascii="方正小标宋_GBK" w:hAnsi="宋体" w:eastAsia="方正小标宋_GBK" w:cs="宋体"/>
          <w:b/>
          <w:bCs w:val="0"/>
          <w:kern w:val="0"/>
          <w:sz w:val="20"/>
          <w:szCs w:val="20"/>
          <w:lang w:val="en-US" w:eastAsia="zh-CN"/>
        </w:rPr>
        <w:t>项目23</w:t>
      </w: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村公共卫生防疫项目支出绩效评价报告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（一）项目概况。村公共卫生防疫项目是为我镇设立的专项补助经费，主要用于保障村公共卫生防疫工作顺利开展。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（二）项目绩效目标。总体绩效目标是确保我镇村公共卫生防疫工作顺利展开，有足够的人员等进行政策落实工作。阶段性目标是按照季节及政策环境的变化能够分阶段开展工作。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（二）项目过程情况。村公共卫生防疫项目为项目，贯穿全年。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（三）项目产出情况。确保了镇区村公共卫生防疫及机关运行秩序。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（四）项目效益情况。确保了镇区村公共卫生防疫及机关运行秩序。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hint="eastAsia"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pPr>
      <w:r>
        <w:rPr>
          <w:rFonts w:hint="eastAsia" w:ascii="方正小标宋_GBK" w:hAnsi="宋体" w:eastAsia="方正小标宋_GBK" w:cs="宋体"/>
          <w:b/>
          <w:bCs w:val="0"/>
          <w:kern w:val="0"/>
          <w:sz w:val="20"/>
          <w:szCs w:val="20"/>
          <w:lang w:val="en-US" w:eastAsia="zh-CN"/>
        </w:rPr>
        <w:t>项目24</w:t>
      </w:r>
    </w:p>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村综合服务站项目支出绩效评价报告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（一）项目概况。村综合服务站项目是为我镇设立的专项补助经费，主要用于保障村综合服务站工作顺利开展。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（二）项目绩效目标。总体绩效目标是确保我镇村综合服务站工作顺利展开，有足够的人员等进行政策落实工作。阶段性目标是按照季节及政策环境的变化能够分阶段开展工作。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（二）项目过程情况。村综合服务站项目为项目，贯穿全年。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（三）项目产出情况。确保了镇区村综合服务站及机关运行秩序。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（四）项目效益情况。确保了镇区村综合服务站及机关运行秩序。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pPr>
      <w:r>
        <w:rPr>
          <w:rFonts w:hint="eastAsia" w:ascii="方正小标宋_GBK" w:hAnsi="宋体" w:eastAsia="方正小标宋_GBK" w:cs="宋体"/>
          <w:b/>
          <w:bCs w:val="0"/>
          <w:kern w:val="0"/>
          <w:sz w:val="20"/>
          <w:szCs w:val="20"/>
          <w:lang w:val="en-US" w:eastAsia="zh-CN"/>
        </w:rPr>
        <w:t>项目25</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村综合服务站项目支出绩效评价报告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（一）项目概况。村综合服务站项目是为我镇设立的专项补助经费，主要用于保障村综合服务站工作顺利开展。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（二）项目绩效目标。总体绩效目标是确保我镇村综合服务站工作顺利展开，有足够的人员等进行政策落实工作。阶段性目标是按照季节及政策环境的变化能够分阶段开展工作。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（二）项目过程情况。村综合服务站项目为项目，贯穿全年。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（三）项目产出情况。确保了镇区村综合服务站及机关运行秩序。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（四）项目效益情况。确保了镇区村综合服务站及机关运行秩序。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pPr>
      <w:r>
        <w:rPr>
          <w:rFonts w:hint="eastAsia" w:ascii="方正小标宋_GBK" w:hAnsi="宋体" w:eastAsia="方正小标宋_GBK" w:cs="宋体"/>
          <w:b/>
          <w:bCs w:val="0"/>
          <w:kern w:val="0"/>
          <w:sz w:val="20"/>
          <w:szCs w:val="20"/>
          <w:lang w:val="en-US" w:eastAsia="zh-CN"/>
        </w:rPr>
        <w:t>项目26</w:t>
      </w: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村党组织活动经费项目支出绩效评价报告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（一）项目概况。村党组织活动经费项目是为我镇设立的专项补助经费，主要用于保障村党组织活动经费工作顺利开展。</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（二）项目绩效目标。总体绩效目标是确保我镇村党组织活动经费工作顺利展开，有足够的人员等进行政策落实工作。阶段性目标是按照季节及政策环境的变化能够分阶段开展工作。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ascii="仿宋_GB2312" w:eastAsia="仿宋_GB2312"/>
          <w:sz w:val="32"/>
          <w:szCs w:val="32"/>
        </w:rPr>
        <w:t>项目有实施的必要性，且本项目是经县委县政府批准的日常性项目，为机关运转必要项目。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（二）项目过程情况。村党组织活动经费项目为项目，贯穿全年。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（三）项目产出情况。确保了镇区村党组织活动经费及机关运行秩序。</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（四）项目效益情况。确保了镇区村党组织活动经费及机关运行秩序。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附表一：</w:t>
      </w:r>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
    <w:p/>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eastAsia" w:ascii="方正小标宋_GBK" w:hAnsi="宋体" w:eastAsia="方正小标宋_GBK" w:cs="宋体"/>
          <w:b/>
          <w:bCs w:val="0"/>
          <w:kern w:val="0"/>
          <w:sz w:val="20"/>
          <w:szCs w:val="20"/>
          <w:lang w:val="en-US" w:eastAsia="zh-CN"/>
        </w:rPr>
      </w:pPr>
    </w:p>
    <w:p>
      <w:pPr>
        <w:widowControl/>
        <w:spacing w:line="600" w:lineRule="exact"/>
        <w:jc w:val="left"/>
        <w:rPr>
          <w:rFonts w:hint="default"/>
          <w:lang w:val="en-US"/>
        </w:rPr>
      </w:pPr>
      <w:bookmarkStart w:id="0" w:name="_GoBack"/>
      <w:bookmarkEnd w:id="0"/>
      <w:r>
        <w:rPr>
          <w:rFonts w:hint="eastAsia" w:ascii="方正小标宋_GBK" w:hAnsi="宋体" w:eastAsia="方正小标宋_GBK" w:cs="宋体"/>
          <w:b/>
          <w:bCs w:val="0"/>
          <w:kern w:val="0"/>
          <w:sz w:val="20"/>
          <w:szCs w:val="20"/>
          <w:lang w:val="en-US" w:eastAsia="zh-CN"/>
        </w:rPr>
        <w:t>项目27</w:t>
      </w: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玉田县石臼窝镇人民政府</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黑臭水体整治</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黑臭水体整治项目是为我镇黑臭水体整治划拨的专项经费，用于我镇内黑臭水体的治理及日常维护开销</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（二）项目绩效目标。总体绩效目标是确保我镇</w:t>
      </w:r>
      <w:r>
        <w:rPr>
          <w:rFonts w:hint="eastAsia" w:ascii="仿宋_GB2312" w:eastAsia="仿宋_GB2312"/>
          <w:sz w:val="32"/>
          <w:szCs w:val="32"/>
          <w:lang w:eastAsia="zh-CN"/>
        </w:rPr>
        <w:t>黑臭水体整治运转</w:t>
      </w:r>
      <w:r>
        <w:rPr>
          <w:rFonts w:hint="eastAsia" w:ascii="仿宋_GB2312" w:eastAsia="仿宋_GB2312"/>
          <w:sz w:val="32"/>
          <w:szCs w:val="32"/>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。绩效评价是为了能够让工作顺利的开展，有考核性质，提高工作人员工作积极性和主动性。绩效评价对象和范围主要是项目主要针对的方面的工作改善情况及日常工作的进行情况，以及工作人员的工作状态</w:t>
      </w:r>
      <w:r>
        <w:rPr>
          <w:rFonts w:hint="eastAsia" w:ascii="仿宋_GB2312" w:eastAsia="仿宋_GB2312"/>
          <w:sz w:val="32"/>
          <w:szCs w:val="32"/>
        </w:rPr>
        <w:t>。</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（二）项目过程情况。项目为</w:t>
      </w:r>
      <w:r>
        <w:rPr>
          <w:rFonts w:hint="eastAsia" w:ascii="仿宋_GB2312" w:eastAsia="仿宋_GB2312"/>
          <w:sz w:val="32"/>
          <w:szCs w:val="32"/>
          <w:lang w:eastAsia="zh-CN"/>
        </w:rPr>
        <w:t>黑臭水体整治</w:t>
      </w:r>
      <w:r>
        <w:rPr>
          <w:rFonts w:hint="eastAsia" w:ascii="仿宋_GB2312" w:eastAsia="仿宋_GB2312"/>
          <w:sz w:val="32"/>
          <w:szCs w:val="32"/>
        </w:rPr>
        <w:t>项目，贯穿全年。</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（三）项目产出情况。确保了镇区</w:t>
      </w:r>
      <w:r>
        <w:rPr>
          <w:rFonts w:hint="eastAsia" w:ascii="仿宋_GB2312" w:eastAsia="仿宋_GB2312"/>
          <w:sz w:val="32"/>
          <w:szCs w:val="32"/>
          <w:lang w:eastAsia="zh-CN"/>
        </w:rPr>
        <w:t>黑臭水体整治取得一定效果</w:t>
      </w:r>
      <w:r>
        <w:rPr>
          <w:rFonts w:hint="eastAsia"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（四）项目效益情况。</w:t>
      </w:r>
      <w:r>
        <w:rPr>
          <w:rFonts w:hint="eastAsia" w:ascii="仿宋_GB2312" w:eastAsia="仿宋_GB2312"/>
          <w:sz w:val="32"/>
          <w:szCs w:val="32"/>
          <w:lang w:eastAsia="zh-CN"/>
        </w:rPr>
        <w:t>改善灌溉水质，改善人居环境</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numPr>
          <w:ilvl w:val="0"/>
          <w:numId w:val="0"/>
        </w:numPr>
        <w:spacing w:line="600" w:lineRule="exact"/>
        <w:ind w:leftChars="200"/>
        <w:rPr>
          <w:rFonts w:hint="eastAsia" w:eastAsia="黑体"/>
          <w:sz w:val="32"/>
          <w:szCs w:val="32"/>
        </w:rPr>
      </w:pPr>
    </w:p>
    <w:p/>
    <w:p/>
    <w:p/>
    <w:p/>
    <w:p/>
    <w:p/>
    <w:p/>
    <w:p/>
    <w:p/>
    <w:p/>
    <w:p/>
    <w:p/>
    <w:p/>
    <w:p/>
    <w:p/>
    <w:p/>
    <w:p/>
    <w:tbl>
      <w:tblPr>
        <w:tblStyle w:val="4"/>
        <w:tblW w:w="9510" w:type="dxa"/>
        <w:tblInd w:w="93" w:type="dxa"/>
        <w:tblLayout w:type="autofit"/>
        <w:tblCellMar>
          <w:top w:w="0" w:type="dxa"/>
          <w:left w:w="108" w:type="dxa"/>
          <w:bottom w:w="0" w:type="dxa"/>
          <w:right w:w="108" w:type="dxa"/>
        </w:tblCellMar>
      </w:tblPr>
      <w:tblGrid>
        <w:gridCol w:w="1350"/>
        <w:gridCol w:w="1365"/>
        <w:gridCol w:w="1185"/>
        <w:gridCol w:w="5610"/>
      </w:tblGrid>
      <w:tr>
        <w:tblPrEx>
          <w:tblCellMar>
            <w:top w:w="0" w:type="dxa"/>
            <w:left w:w="108" w:type="dxa"/>
            <w:bottom w:w="0" w:type="dxa"/>
            <w:right w:w="108" w:type="dxa"/>
          </w:tblCellMar>
        </w:tblPrEx>
        <w:trPr>
          <w:trHeight w:val="55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一级指标</w:t>
            </w:r>
          </w:p>
        </w:tc>
        <w:tc>
          <w:tcPr>
            <w:tcW w:w="13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二级指标</w:t>
            </w: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三级指标</w:t>
            </w:r>
          </w:p>
        </w:tc>
        <w:tc>
          <w:tcPr>
            <w:tcW w:w="5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8"/>
                <w:szCs w:val="28"/>
              </w:rPr>
            </w:pPr>
            <w:r>
              <w:rPr>
                <w:rFonts w:hint="eastAsia" w:ascii="仿宋" w:hAnsi="仿宋" w:eastAsia="仿宋" w:cs="仿宋"/>
                <w:b/>
                <w:bCs/>
                <w:color w:val="000000"/>
                <w:kern w:val="0"/>
                <w:sz w:val="28"/>
                <w:szCs w:val="28"/>
              </w:rPr>
              <w:t>评分规则</w:t>
            </w:r>
          </w:p>
        </w:tc>
      </w:tr>
      <w:tr>
        <w:tblPrEx>
          <w:tblCellMar>
            <w:top w:w="0" w:type="dxa"/>
            <w:left w:w="108" w:type="dxa"/>
            <w:bottom w:w="0" w:type="dxa"/>
            <w:right w:w="108" w:type="dxa"/>
          </w:tblCellMar>
        </w:tblPrEx>
        <w:trPr>
          <w:trHeight w:val="10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一、立项必要性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依据充分性</w:t>
            </w:r>
          </w:p>
        </w:tc>
        <w:tc>
          <w:tcPr>
            <w:tcW w:w="118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本级决议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依据县委、县政府重大决策立项，得5分,主要指县主要领导明确的批示、意见，县委常委会、县政府常务会会议纪要等。</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上级规划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依据国家、省发展规划、方针政策或部门分管市领导批示、会议纪要立项，得5分。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部门规划</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依据县级部门职能及中长期发展规划、部门年度工作计划或项目规划立项，得3分。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立项合理性</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实施紧迫</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项目必须实施，预算资金由财政安排，得5分。</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存在分年度安排情况，得2分。无紧迫性，不得分。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事权合理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属于县级财政事权范围，得2分，反之不得分。</w:t>
            </w:r>
          </w:p>
        </w:tc>
      </w:tr>
      <w:tr>
        <w:tblPrEx>
          <w:tblCellMar>
            <w:top w:w="0" w:type="dxa"/>
            <w:left w:w="108" w:type="dxa"/>
            <w:bottom w:w="0" w:type="dxa"/>
            <w:right w:w="108" w:type="dxa"/>
          </w:tblCellMar>
        </w:tblPrEx>
        <w:trPr>
          <w:trHeight w:val="76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项目相关</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相同或相近领域无用途相似的预算安排，得3分；反之不得分。</w:t>
            </w:r>
          </w:p>
        </w:tc>
      </w:tr>
      <w:tr>
        <w:tblPrEx>
          <w:tblCellMar>
            <w:top w:w="0" w:type="dxa"/>
            <w:left w:w="108" w:type="dxa"/>
            <w:bottom w:w="0" w:type="dxa"/>
            <w:right w:w="108" w:type="dxa"/>
          </w:tblCellMar>
        </w:tblPrEx>
        <w:trPr>
          <w:trHeight w:val="58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二、实施可行性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（25分）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实施可能性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制度健全</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具备明确的管理制度，得5分；没有不得分。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方案可行</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具备可行的实施方案，得10分；没有不得分。</w:t>
            </w:r>
          </w:p>
        </w:tc>
      </w:tr>
      <w:tr>
        <w:tblPrEx>
          <w:tblCellMar>
            <w:top w:w="0" w:type="dxa"/>
            <w:left w:w="108" w:type="dxa"/>
            <w:bottom w:w="0" w:type="dxa"/>
            <w:right w:w="108" w:type="dxa"/>
          </w:tblCellMar>
        </w:tblPrEx>
        <w:trPr>
          <w:trHeight w:val="58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路径最优</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具备最优的实施路径，得8分；反之不得分。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风险可控性</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风险可控</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具备风险防控方案或风险评估报告，得2分；没有不得分。</w:t>
            </w:r>
          </w:p>
        </w:tc>
      </w:tr>
      <w:tr>
        <w:tblPrEx>
          <w:tblCellMar>
            <w:top w:w="0" w:type="dxa"/>
            <w:left w:w="108" w:type="dxa"/>
            <w:bottom w:w="0" w:type="dxa"/>
            <w:right w:w="108" w:type="dxa"/>
          </w:tblCellMar>
        </w:tblPrEx>
        <w:trPr>
          <w:trHeight w:val="75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三、绩效目标合理性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（20分）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目标设置</w:t>
            </w: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指向精准</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能精准反映预算支出的产出和效果，得5分； 没有不得分。</w:t>
            </w:r>
          </w:p>
        </w:tc>
      </w:tr>
      <w:tr>
        <w:tblPrEx>
          <w:tblCellMar>
            <w:top w:w="0" w:type="dxa"/>
            <w:left w:w="108" w:type="dxa"/>
            <w:bottom w:w="0" w:type="dxa"/>
            <w:right w:w="108" w:type="dxa"/>
          </w:tblCellMar>
        </w:tblPrEx>
        <w:trPr>
          <w:trHeight w:val="78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客观公正</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目标符合客观实际，一定时期内能够实现，得5分；反之不得分。</w:t>
            </w:r>
          </w:p>
        </w:tc>
      </w:tr>
      <w:tr>
        <w:tblPrEx>
          <w:tblCellMar>
            <w:top w:w="0" w:type="dxa"/>
            <w:left w:w="108" w:type="dxa"/>
            <w:bottom w:w="0" w:type="dxa"/>
            <w:right w:w="108" w:type="dxa"/>
          </w:tblCellMar>
        </w:tblPrEx>
        <w:trPr>
          <w:trHeight w:val="70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便于衡量</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绩效目标指标细化、量化，得5分；反之不得分。</w:t>
            </w:r>
          </w:p>
        </w:tc>
      </w:tr>
      <w:tr>
        <w:tblPrEx>
          <w:tblCellMar>
            <w:top w:w="0" w:type="dxa"/>
            <w:left w:w="108" w:type="dxa"/>
            <w:bottom w:w="0" w:type="dxa"/>
            <w:right w:w="108" w:type="dxa"/>
          </w:tblCellMar>
        </w:tblPrEx>
        <w:trPr>
          <w:trHeight w:val="75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数量适当</w:t>
            </w:r>
          </w:p>
        </w:tc>
        <w:tc>
          <w:tcPr>
            <w:tcW w:w="56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绩效指标数量不少于6条，得5分；每缺少1条，扣1分。</w:t>
            </w:r>
          </w:p>
        </w:tc>
      </w:tr>
      <w:tr>
        <w:tblPrEx>
          <w:tblCellMar>
            <w:top w:w="0" w:type="dxa"/>
            <w:left w:w="108" w:type="dxa"/>
            <w:bottom w:w="0" w:type="dxa"/>
            <w:right w:w="108" w:type="dxa"/>
          </w:tblCellMar>
        </w:tblPrEx>
        <w:trPr>
          <w:trHeight w:val="840"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四、投入经济性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资金测算</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依据充分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财政投入测算依据充分，得4分；测算依据每存在1条不充分的，扣1分，扣完为止。</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标准合理</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测算标准合理，得3分；每存在1条标准偏高的，扣1分，扣完为止。</w:t>
            </w:r>
          </w:p>
        </w:tc>
      </w:tr>
      <w:tr>
        <w:tblPrEx>
          <w:tblCellMar>
            <w:top w:w="0" w:type="dxa"/>
            <w:left w:w="108" w:type="dxa"/>
            <w:bottom w:w="0" w:type="dxa"/>
            <w:right w:w="108" w:type="dxa"/>
          </w:tblCellMar>
        </w:tblPrEx>
        <w:trPr>
          <w:trHeight w:val="67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资金效益</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成本与效益匹配</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投入成本与预期效益匹配，得3分；反之不得分。</w:t>
            </w:r>
          </w:p>
        </w:tc>
      </w:tr>
      <w:tr>
        <w:tblPrEx>
          <w:tblCellMar>
            <w:top w:w="0" w:type="dxa"/>
            <w:left w:w="108" w:type="dxa"/>
            <w:bottom w:w="0" w:type="dxa"/>
            <w:right w:w="108" w:type="dxa"/>
          </w:tblCellMar>
        </w:tblPrEx>
        <w:trPr>
          <w:trHeight w:val="735"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五、筹资合规性</w:t>
            </w:r>
            <w:r>
              <w:rPr>
                <w:rFonts w:hint="eastAsia" w:ascii="仿宋" w:hAnsi="仿宋" w:eastAsia="仿宋" w:cs="仿宋"/>
                <w:color w:val="000000"/>
                <w:kern w:val="0"/>
                <w:sz w:val="24"/>
              </w:rPr>
              <w:br w:type="textWrapping"/>
            </w:r>
            <w:r>
              <w:rPr>
                <w:rFonts w:hint="eastAsia" w:ascii="仿宋" w:hAnsi="仿宋" w:eastAsia="仿宋" w:cs="仿宋"/>
                <w:color w:val="000000"/>
                <w:kern w:val="0"/>
                <w:sz w:val="24"/>
              </w:rPr>
              <w:t>（10分）</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资金来源</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渠道明确</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明确财政资金、自有收入或其他资金安排，得5分；未明确不得分。</w:t>
            </w:r>
          </w:p>
        </w:tc>
      </w:tr>
      <w:tr>
        <w:tblPrEx>
          <w:tblCellMar>
            <w:top w:w="0" w:type="dxa"/>
            <w:left w:w="108" w:type="dxa"/>
            <w:bottom w:w="0" w:type="dxa"/>
            <w:right w:w="108" w:type="dxa"/>
          </w:tblCellMar>
        </w:tblPrEx>
        <w:trPr>
          <w:trHeight w:val="7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合法合规</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资金来源符合国家法律、法规，得5分，反之不得分。</w:t>
            </w:r>
          </w:p>
        </w:tc>
      </w:tr>
      <w:tr>
        <w:tblPrEx>
          <w:tblCellMar>
            <w:top w:w="0" w:type="dxa"/>
            <w:left w:w="108" w:type="dxa"/>
            <w:bottom w:w="0" w:type="dxa"/>
            <w:right w:w="108" w:type="dxa"/>
          </w:tblCellMar>
        </w:tblPrEx>
        <w:trPr>
          <w:trHeight w:val="765"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六、可持续性（10分）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财力支持</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rPr>
              <w:t>财政承受能力</w:t>
            </w:r>
          </w:p>
        </w:tc>
        <w:tc>
          <w:tcPr>
            <w:tcW w:w="5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rPr>
              <w:t>实施期内县级财力能够承受，得10分；反之不得分。</w:t>
            </w:r>
          </w:p>
        </w:tc>
      </w:tr>
    </w:tbl>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abstractNum w:abstractNumId="1">
    <w:nsid w:val="43BD5244"/>
    <w:multiLevelType w:val="singleLevel"/>
    <w:tmpl w:val="43BD5244"/>
    <w:lvl w:ilvl="0" w:tentative="0">
      <w:start w:val="6"/>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364085C"/>
    <w:rsid w:val="0FD13331"/>
    <w:rsid w:val="289A4D43"/>
    <w:rsid w:val="44787793"/>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2024-04-22T08:35:37Z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