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both"/>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村级组织运转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w:t>
      </w:r>
      <w:r>
        <w:rPr>
          <w:rFonts w:hint="eastAsia" w:ascii="仿宋_GB2312" w:eastAsia="仿宋_GB2312"/>
          <w:sz w:val="32"/>
          <w:szCs w:val="32"/>
        </w:rPr>
        <w:t>村级组织正常运转，</w:t>
      </w:r>
      <w:r>
        <w:rPr>
          <w:rFonts w:hint="eastAsia" w:ascii="仿宋_GB2312" w:eastAsia="仿宋_GB2312"/>
          <w:sz w:val="32"/>
          <w:szCs w:val="32"/>
          <w:lang w:val="en-US" w:eastAsia="zh-CN"/>
        </w:rPr>
        <w:t>全年预算为25.7万元。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（二）项目绩效目标。保证村级组织正常运转，并及时拨付相关经费</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25.7万元</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村内组织正常运转</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促进村内经济发展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保障各村稳定发展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促进村内各方面均衡发展</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rPr>
        <w:t>服务对象满意度指标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村民满意度</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通过及时，客观的评价反映出整体效果</w:t>
      </w:r>
      <w:r>
        <w:rPr>
          <w:rFonts w:hint="eastAsia" w:ascii="仿宋_GB2312" w:eastAsia="仿宋_GB2312"/>
          <w:sz w:val="32"/>
          <w:szCs w:val="32"/>
          <w:highlight w:val="none"/>
          <w:lang w:val="en-US" w:eastAsia="zh-CN"/>
        </w:rPr>
        <w:t>较差</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未</w:t>
      </w:r>
      <w:r>
        <w:rPr>
          <w:rFonts w:hint="eastAsia" w:ascii="仿宋_GB2312" w:eastAsia="仿宋_GB2312"/>
          <w:sz w:val="32"/>
          <w:szCs w:val="32"/>
          <w:highlight w:val="none"/>
        </w:rPr>
        <w:t>达到预期目标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主要原因为资金未下达</w:t>
      </w:r>
      <w:r>
        <w:rPr>
          <w:rFonts w:hint="eastAsia" w:ascii="仿宋_GB2312" w:eastAsia="仿宋_GB2312"/>
          <w:sz w:val="32"/>
          <w:szCs w:val="32"/>
          <w:highlight w:val="none"/>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bookmarkStart w:id="0" w:name="_GoBack"/>
      <w:bookmarkEnd w:id="0"/>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06A4E31"/>
    <w:rsid w:val="166075F5"/>
    <w:rsid w:val="322D2A74"/>
    <w:rsid w:val="44787793"/>
    <w:rsid w:val="4595474B"/>
    <w:rsid w:val="49D67DF9"/>
    <w:rsid w:val="4E2E58BC"/>
    <w:rsid w:val="51D879E2"/>
    <w:rsid w:val="63AF0C61"/>
    <w:rsid w:val="689600E9"/>
    <w:rsid w:val="7AAB5A98"/>
    <w:rsid w:val="7B6E7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2024-04-24T07:16:11Z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