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 xml:space="preserve">林南仓镇人民政府 </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2023年度第17批次建设用地征地补偿费 </w:t>
      </w:r>
      <w:r>
        <w:rPr>
          <w:rFonts w:hint="eastAsia" w:ascii="方正小标宋_GBK" w:hAnsi="宋体" w:eastAsia="方正小标宋_GBK" w:cs="宋体"/>
          <w:bCs/>
          <w:kern w:val="0"/>
          <w:sz w:val="44"/>
          <w:szCs w:val="44"/>
        </w:rPr>
        <w:t>项目支出绩效评价报告</w:t>
      </w:r>
    </w:p>
    <w:p>
      <w:pPr>
        <w:widowControl/>
        <w:spacing w:line="600" w:lineRule="exact"/>
        <w:jc w:val="center"/>
        <w:rPr>
          <w:rFonts w:hint="eastAsia" w:ascii="方正小标宋_GBK" w:hAnsi="宋体" w:eastAsia="方正小标宋_GBK" w:cs="宋体"/>
          <w:bCs/>
          <w:kern w:val="0"/>
          <w:sz w:val="44"/>
          <w:szCs w:val="44"/>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w:t>
      </w:r>
      <w:r>
        <w:rPr>
          <w:rFonts w:hint="eastAsia" w:ascii="仿宋_GB2312" w:eastAsia="仿宋_GB2312"/>
          <w:sz w:val="32"/>
          <w:szCs w:val="32"/>
          <w:lang w:val="en-US" w:eastAsia="zh-CN"/>
        </w:rPr>
        <w:t>林南仓镇岳庄征地补偿款全年预算数为115.79043万元。</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（二）项目绩效目标。保证</w:t>
      </w:r>
      <w:r>
        <w:rPr>
          <w:rFonts w:hint="eastAsia" w:ascii="仿宋_GB2312" w:eastAsia="仿宋_GB2312"/>
          <w:sz w:val="32"/>
          <w:szCs w:val="32"/>
          <w:lang w:val="en-US" w:eastAsia="zh-CN"/>
        </w:rPr>
        <w:t>林南仓镇岳庄</w:t>
      </w:r>
      <w:r>
        <w:rPr>
          <w:rFonts w:hint="eastAsia" w:ascii="仿宋_GB2312" w:eastAsia="仿宋_GB2312"/>
          <w:sz w:val="32"/>
          <w:szCs w:val="32"/>
        </w:rPr>
        <w:t>款项按时发放</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w:t>
      </w:r>
      <w:r>
        <w:rPr>
          <w:rFonts w:hint="eastAsia" w:ascii="仿宋_GB2312" w:eastAsia="仿宋_GB2312"/>
          <w:sz w:val="32"/>
          <w:szCs w:val="32"/>
          <w:lang w:val="en-US" w:eastAsia="zh-CN"/>
        </w:rPr>
        <w:t>财政所所有成员</w:t>
      </w:r>
      <w:r>
        <w:rPr>
          <w:rFonts w:hint="eastAsia" w:ascii="仿宋_GB2312" w:eastAsia="仿宋_GB2312"/>
          <w:sz w:val="32"/>
          <w:szCs w:val="32"/>
        </w:rPr>
        <w:t>共</w:t>
      </w:r>
      <w:r>
        <w:rPr>
          <w:rFonts w:hint="eastAsia" w:ascii="仿宋_GB2312" w:eastAsia="仿宋_GB2312"/>
          <w:sz w:val="32"/>
          <w:szCs w:val="32"/>
          <w:lang w:val="en-US" w:eastAsia="zh-CN"/>
        </w:rPr>
        <w:t>6</w:t>
      </w:r>
      <w:r>
        <w:rPr>
          <w:rFonts w:hint="eastAsia" w:ascii="仿宋_GB2312" w:eastAsia="仿宋_GB2312"/>
          <w:sz w:val="32"/>
          <w:szCs w:val="32"/>
        </w:rPr>
        <w:t>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按支出进度3月底、6月底、10月底分别达到50%、70%、100%的预期进行考核。项目共设产出指标、效果指标、满意度指标三个一级指标，下设</w:t>
      </w:r>
      <w:r>
        <w:rPr>
          <w:rFonts w:hint="eastAsia" w:ascii="仿宋_GB2312" w:eastAsia="仿宋_GB2312"/>
          <w:sz w:val="32"/>
          <w:szCs w:val="32"/>
          <w:highlight w:val="none"/>
          <w:lang w:val="en-US" w:eastAsia="zh-CN"/>
        </w:rPr>
        <w:t>8</w:t>
      </w:r>
      <w:r>
        <w:rPr>
          <w:rFonts w:hint="eastAsia" w:ascii="仿宋_GB2312" w:eastAsia="仿宋_GB2312"/>
          <w:sz w:val="32"/>
          <w:szCs w:val="32"/>
          <w:highlight w:val="none"/>
        </w:rPr>
        <w:t>个二、三级指标。</w:t>
      </w:r>
      <w:r>
        <w:rPr>
          <w:rFonts w:hint="eastAsia" w:ascii="仿宋_GB2312" w:eastAsia="仿宋_GB2312"/>
          <w:sz w:val="32"/>
          <w:szCs w:val="32"/>
          <w:highlight w:val="none"/>
          <w:lang w:val="en-US" w:eastAsia="zh-CN"/>
        </w:rPr>
        <w:t>年度预期目标情况</w:t>
      </w:r>
      <w:r>
        <w:rPr>
          <w:rFonts w:hint="eastAsia" w:ascii="仿宋_GB2312" w:eastAsia="仿宋_GB2312"/>
          <w:sz w:val="32"/>
          <w:szCs w:val="32"/>
          <w:highlight w:val="none"/>
        </w:rPr>
        <w:t>为：</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产出指标</w:t>
      </w:r>
      <w:r>
        <w:rPr>
          <w:rFonts w:hint="eastAsia" w:ascii="仿宋_GB2312" w:eastAsia="仿宋_GB2312"/>
          <w:sz w:val="32"/>
          <w:szCs w:val="32"/>
          <w:highlight w:val="none"/>
        </w:rPr>
        <w:tab/>
      </w:r>
      <w:r>
        <w:rPr>
          <w:rFonts w:hint="eastAsia" w:ascii="仿宋_GB2312" w:eastAsia="仿宋_GB2312"/>
          <w:sz w:val="32"/>
          <w:szCs w:val="32"/>
          <w:highlight w:val="none"/>
        </w:rPr>
        <w:t>数量指标</w:t>
      </w:r>
      <w:r>
        <w:rPr>
          <w:rFonts w:hint="eastAsia" w:ascii="仿宋_GB2312" w:eastAsia="仿宋_GB2312"/>
          <w:sz w:val="32"/>
          <w:szCs w:val="32"/>
          <w:highlight w:val="none"/>
        </w:rPr>
        <w:tab/>
      </w:r>
      <w:r>
        <w:rPr>
          <w:rFonts w:hint="eastAsia" w:ascii="仿宋_GB2312" w:eastAsia="仿宋_GB2312"/>
          <w:sz w:val="32"/>
          <w:szCs w:val="32"/>
          <w:highlight w:val="none"/>
        </w:rPr>
        <w:t>资金发放金额</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115.79043万元</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质量指标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ab/>
      </w:r>
      <w:r>
        <w:rPr>
          <w:rFonts w:hint="eastAsia" w:ascii="仿宋_GB2312" w:eastAsia="仿宋_GB2312"/>
          <w:sz w:val="32"/>
          <w:szCs w:val="32"/>
          <w:highlight w:val="none"/>
        </w:rPr>
        <w:t>资金发放完成率</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1280" w:firstLineChars="4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rPr>
        <w:t>时效指标</w:t>
      </w:r>
      <w:r>
        <w:rPr>
          <w:rFonts w:hint="eastAsia" w:ascii="仿宋_GB2312" w:eastAsia="仿宋_GB2312"/>
          <w:sz w:val="32"/>
          <w:szCs w:val="32"/>
          <w:highlight w:val="none"/>
        </w:rPr>
        <w:tab/>
      </w:r>
      <w:r>
        <w:rPr>
          <w:rFonts w:hint="eastAsia" w:ascii="仿宋_GB2312" w:eastAsia="仿宋_GB2312"/>
          <w:sz w:val="32"/>
          <w:szCs w:val="32"/>
          <w:highlight w:val="none"/>
        </w:rPr>
        <w:t>资金发放及时性</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成本指标</w:t>
      </w:r>
      <w:r>
        <w:rPr>
          <w:rFonts w:hint="eastAsia" w:ascii="仿宋_GB2312" w:eastAsia="仿宋_GB2312"/>
          <w:sz w:val="32"/>
          <w:szCs w:val="32"/>
          <w:highlight w:val="none"/>
        </w:rPr>
        <w:tab/>
      </w:r>
      <w:r>
        <w:rPr>
          <w:rFonts w:hint="eastAsia" w:ascii="仿宋_GB2312" w:eastAsia="仿宋_GB2312"/>
          <w:sz w:val="32"/>
          <w:szCs w:val="32"/>
          <w:highlight w:val="none"/>
        </w:rPr>
        <w:t>按总成本控制</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效益指标</w:t>
      </w:r>
      <w:r>
        <w:rPr>
          <w:rFonts w:hint="eastAsia" w:ascii="仿宋_GB2312" w:eastAsia="仿宋_GB2312"/>
          <w:sz w:val="32"/>
          <w:szCs w:val="32"/>
          <w:highlight w:val="none"/>
        </w:rPr>
        <w:tab/>
      </w:r>
      <w:r>
        <w:rPr>
          <w:rFonts w:hint="eastAsia" w:ascii="仿宋_GB2312" w:eastAsia="仿宋_GB2312"/>
          <w:sz w:val="32"/>
          <w:szCs w:val="32"/>
          <w:highlight w:val="none"/>
        </w:rPr>
        <w:t>经济效益</w:t>
      </w:r>
      <w:r>
        <w:rPr>
          <w:rFonts w:hint="eastAsia" w:ascii="仿宋_GB2312" w:eastAsia="仿宋_GB2312"/>
          <w:sz w:val="32"/>
          <w:szCs w:val="32"/>
          <w:highlight w:val="none"/>
        </w:rPr>
        <w:tab/>
      </w:r>
      <w:r>
        <w:rPr>
          <w:rFonts w:hint="eastAsia" w:ascii="仿宋_GB2312" w:eastAsia="仿宋_GB2312"/>
          <w:sz w:val="32"/>
          <w:szCs w:val="32"/>
          <w:highlight w:val="none"/>
        </w:rPr>
        <w:t>促进经济发展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rPr>
        <w:t>社会效益</w:t>
      </w:r>
      <w:r>
        <w:rPr>
          <w:rFonts w:hint="eastAsia" w:ascii="仿宋_GB2312" w:eastAsia="仿宋_GB2312"/>
          <w:sz w:val="32"/>
          <w:szCs w:val="32"/>
          <w:highlight w:val="none"/>
        </w:rPr>
        <w:tab/>
      </w:r>
      <w:r>
        <w:rPr>
          <w:rFonts w:hint="eastAsia" w:ascii="仿宋_GB2312" w:eastAsia="仿宋_GB2312"/>
          <w:sz w:val="32"/>
          <w:szCs w:val="32"/>
          <w:highlight w:val="none"/>
        </w:rPr>
        <w:t>化解矛盾率(%)</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可持续影响指标</w:t>
      </w:r>
      <w:r>
        <w:rPr>
          <w:rFonts w:hint="eastAsia" w:ascii="仿宋_GB2312" w:eastAsia="仿宋_GB2312"/>
          <w:sz w:val="32"/>
          <w:szCs w:val="32"/>
          <w:highlight w:val="none"/>
        </w:rPr>
        <w:tab/>
      </w:r>
      <w:r>
        <w:rPr>
          <w:rFonts w:hint="eastAsia" w:ascii="仿宋_GB2312" w:eastAsia="仿宋_GB2312"/>
          <w:sz w:val="32"/>
          <w:szCs w:val="32"/>
          <w:highlight w:val="none"/>
        </w:rPr>
        <w:t>维护社会稳定</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满意度指标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服务对象满意度指标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ab/>
      </w:r>
      <w:r>
        <w:rPr>
          <w:rFonts w:hint="eastAsia" w:ascii="仿宋_GB2312" w:eastAsia="仿宋_GB2312"/>
          <w:sz w:val="32"/>
          <w:szCs w:val="32"/>
          <w:highlight w:val="none"/>
        </w:rPr>
        <w:t>群众满意率</w:t>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eastAsia="黑体"/>
          <w:sz w:val="32"/>
          <w:szCs w:val="32"/>
        </w:rPr>
      </w:pPr>
      <w:r>
        <w:rPr>
          <w:rFonts w:hint="eastAsia" w:ascii="仿宋_GB2312" w:eastAsia="仿宋_GB2312"/>
          <w:sz w:val="32"/>
          <w:szCs w:val="32"/>
          <w:highlight w:val="none"/>
        </w:rPr>
        <w:t>通过及时，客观的评价反映出整体效果优良，基本达到预期目标。</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（一）项目决策情况。首先依据县委、县政府重大决策立项，单位党委会讨论通过，向县政府申请，主管县领导明确批示后，再向财政局申请资金。</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（二）项目过程情况。对具体的项目制定具体实施方案，管理制度，考评制度，监督检查制度等。</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（三）项目产出情况。要求指向精准，达到产出效果，并符合实际。</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（四）项目效益情况。从各个角度把关，保障成本与效益匹配。取得经济和社会效益。</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（一）主要经验及做法</w:t>
      </w:r>
    </w:p>
    <w:p>
      <w:pPr>
        <w:spacing w:line="600" w:lineRule="exact"/>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、根据部门工作性质申报立项依据，做到立项依据充分，有资金管理办法且符合规范；</w:t>
      </w:r>
    </w:p>
    <w:p>
      <w:pPr>
        <w:spacing w:line="600" w:lineRule="exact"/>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、根据部门工作性质合理分配项目资金，做到重点突出，公平公正，资金分配和使用方向与资金管理办法相符；</w:t>
      </w:r>
    </w:p>
    <w:p>
      <w:pPr>
        <w:spacing w:line="600" w:lineRule="exact"/>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、项目资金要做到使用严格执行各种财经纪律，符合规范，无截留、无挪用等现；</w:t>
      </w:r>
    </w:p>
    <w:p>
      <w:pPr>
        <w:spacing w:line="600" w:lineRule="exact"/>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、运用绩效评价结果，改进管理，合理预算安排，根据评价结果落实修正绩效目标。</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（二）存在的问题及原因分析</w:t>
      </w:r>
    </w:p>
    <w:p>
      <w:pPr>
        <w:spacing w:line="600" w:lineRule="exact"/>
        <w:ind w:firstLine="640" w:firstLineChars="200"/>
        <w:rPr>
          <w:rFonts w:hint="default" w:eastAsia="黑体"/>
          <w:sz w:val="32"/>
          <w:szCs w:val="32"/>
          <w:lang w:val="en-US" w:eastAsia="zh-CN"/>
        </w:rPr>
      </w:pPr>
      <w:r>
        <w:rPr>
          <w:rFonts w:hint="eastAsia" w:ascii="仿宋" w:hAnsi="仿宋" w:eastAsia="仿宋"/>
          <w:sz w:val="32"/>
          <w:szCs w:val="32"/>
        </w:rPr>
        <w:t>由于缺乏足够的专业知识和经验，在处理一些专业性问题上还存在不足，今后有待进一步加强。</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rPr>
        <w:t>希望上级部门加强对基层工作人员的业务培训，提升其业务素质。</w:t>
      </w:r>
      <w:bookmarkStart w:id="0" w:name="_GoBack"/>
      <w:bookmarkEnd w:id="0"/>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leftChars="200" w:firstLine="640" w:firstLineChars="200"/>
        <w:rPr>
          <w:rFonts w:hint="default" w:eastAsia="黑体"/>
          <w:sz w:val="32"/>
          <w:szCs w:val="32"/>
          <w:lang w:val="en-US" w:eastAsia="zh-CN"/>
        </w:rPr>
      </w:pPr>
      <w:r>
        <w:rPr>
          <w:rFonts w:hint="eastAsia" w:eastAsia="黑体"/>
          <w:sz w:val="32"/>
          <w:szCs w:val="32"/>
          <w:lang w:val="en-US" w:eastAsia="zh-CN"/>
        </w:rPr>
        <w:t xml:space="preserve"> </w:t>
      </w:r>
      <w:r>
        <w:rPr>
          <w:rFonts w:hint="eastAsia" w:ascii="仿宋" w:hAnsi="仿宋" w:eastAsia="仿宋"/>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E4209A"/>
    <w:multiLevelType w:val="singleLevel"/>
    <w:tmpl w:val="66E4209A"/>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29844AC"/>
    <w:rsid w:val="090C7E5D"/>
    <w:rsid w:val="0FD13331"/>
    <w:rsid w:val="106A4E31"/>
    <w:rsid w:val="276C611F"/>
    <w:rsid w:val="30FA33B8"/>
    <w:rsid w:val="44787793"/>
    <w:rsid w:val="4595474B"/>
    <w:rsid w:val="49D67DF9"/>
    <w:rsid w:val="4BFB1F84"/>
    <w:rsid w:val="51D879E2"/>
    <w:rsid w:val="63AF0C61"/>
    <w:rsid w:val="689600E9"/>
    <w:rsid w:val="7AAB5A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2</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LX</cp:lastModifiedBy>
  <cp:lastPrinted>2022-07-11T08:06:00Z</cp:lastPrinted>
  <dcterms:modified xsi:type="dcterms:W3CDTF">2024-04-24T08:21:31Z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