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eastAsia" w:ascii="方正小标宋_GBK" w:hAnsi="宋体" w:eastAsia="方正小标宋_GBK" w:cs="宋体"/>
          <w:bCs/>
          <w:kern w:val="0"/>
          <w:sz w:val="44"/>
          <w:szCs w:val="44"/>
        </w:rPr>
      </w:pPr>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eastAsia="zh-CN"/>
        </w:rPr>
        <w:t>玉田县</w:t>
      </w:r>
      <w:r>
        <w:rPr>
          <w:rFonts w:hint="eastAsia" w:ascii="方正小标宋_GBK" w:hAnsi="宋体" w:eastAsia="方正小标宋_GBK" w:cs="宋体"/>
          <w:bCs/>
          <w:kern w:val="0"/>
          <w:sz w:val="44"/>
          <w:szCs w:val="44"/>
          <w:lang w:val="en-US" w:eastAsia="zh-CN"/>
        </w:rPr>
        <w:t xml:space="preserve">林南仓镇人民政府 </w:t>
      </w:r>
    </w:p>
    <w:p>
      <w:pPr>
        <w:widowControl/>
        <w:spacing w:line="600" w:lineRule="exact"/>
        <w:jc w:val="center"/>
        <w:rPr>
          <w:rFonts w:hint="eastAsia"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single"/>
          <w:lang w:val="en-US" w:eastAsia="zh-CN"/>
        </w:rPr>
        <w:t xml:space="preserve"> 人员经费  </w:t>
      </w:r>
      <w:r>
        <w:rPr>
          <w:rFonts w:hint="eastAsia" w:ascii="方正小标宋_GBK" w:hAnsi="宋体" w:eastAsia="方正小标宋_GBK" w:cs="宋体"/>
          <w:bCs/>
          <w:kern w:val="0"/>
          <w:sz w:val="44"/>
          <w:szCs w:val="44"/>
        </w:rPr>
        <w:t>项目支出绩效评价报告</w:t>
      </w:r>
    </w:p>
    <w:p>
      <w:pPr>
        <w:widowControl/>
        <w:spacing w:line="600" w:lineRule="exact"/>
        <w:jc w:val="center"/>
        <w:rPr>
          <w:rFonts w:hint="eastAsia" w:ascii="方正小标宋_GBK" w:hAnsi="宋体" w:eastAsia="方正小标宋_GBK" w:cs="宋体"/>
          <w:bCs/>
          <w:kern w:val="0"/>
          <w:sz w:val="44"/>
          <w:szCs w:val="44"/>
        </w:rPr>
      </w:pPr>
    </w:p>
    <w:p>
      <w:pPr>
        <w:spacing w:line="600" w:lineRule="exact"/>
        <w:ind w:firstLine="640" w:firstLineChars="200"/>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lang w:val="en-US" w:eastAsia="zh-CN"/>
        </w:rPr>
        <w:t>2023</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（一）项目概况。</w:t>
      </w:r>
      <w:r>
        <w:rPr>
          <w:rFonts w:hint="eastAsia" w:ascii="仿宋_GB2312" w:eastAsia="仿宋_GB2312"/>
          <w:sz w:val="32"/>
          <w:szCs w:val="32"/>
          <w:lang w:val="en-US" w:eastAsia="zh-CN"/>
        </w:rPr>
        <w:t>用于单位人员工资保险等相关支出。全年预算为968.311713万元。</w:t>
      </w:r>
    </w:p>
    <w:p>
      <w:pPr>
        <w:spacing w:line="60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（二）项目绩效目标。</w:t>
      </w:r>
      <w:r>
        <w:rPr>
          <w:rFonts w:hint="eastAsia" w:ascii="仿宋_GB2312" w:eastAsia="仿宋_GB2312"/>
          <w:sz w:val="32"/>
          <w:szCs w:val="32"/>
          <w:lang w:val="en-US" w:eastAsia="zh-CN"/>
        </w:rPr>
        <w:t>保证镇内组织正常运转，保证人员相关支出。</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w:t>
      </w:r>
      <w:r>
        <w:rPr>
          <w:rFonts w:hint="eastAsia" w:ascii="仿宋_GB2312" w:eastAsia="仿宋_GB2312"/>
          <w:sz w:val="32"/>
          <w:szCs w:val="32"/>
          <w:lang w:val="en-US" w:eastAsia="zh-CN"/>
        </w:rPr>
        <w:t>财政所所有成员</w:t>
      </w:r>
      <w:bookmarkStart w:id="0" w:name="_GoBack"/>
      <w:bookmarkEnd w:id="0"/>
      <w:r>
        <w:rPr>
          <w:rFonts w:hint="eastAsia" w:ascii="仿宋_GB2312" w:eastAsia="仿宋_GB2312"/>
          <w:sz w:val="32"/>
          <w:szCs w:val="32"/>
        </w:rPr>
        <w:t>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（二）绩效评价目的、对象和范围。</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（三）绩效评价原则、评价指标体系（附表说明）、评价方法、评价标准等。</w:t>
      </w:r>
    </w:p>
    <w:p>
      <w:pPr>
        <w:spacing w:line="600" w:lineRule="exact"/>
        <w:ind w:firstLine="640" w:firstLineChars="200"/>
        <w:rPr>
          <w:rFonts w:hint="eastAsia" w:eastAsia="黑体"/>
          <w:sz w:val="32"/>
          <w:szCs w:val="32"/>
        </w:rPr>
      </w:pPr>
      <w:r>
        <w:rPr>
          <w:rFonts w:hint="eastAsia" w:eastAsia="黑体"/>
          <w:sz w:val="32"/>
          <w:szCs w:val="32"/>
        </w:rPr>
        <w:t>三、综合评价情况及评价结论</w:t>
      </w:r>
    </w:p>
    <w:p>
      <w:p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按支出进度3月底、6月底、10月底分别达到50%、70%、100%的预期进行考核。项目共设产出指标、效果指标、满意度指标三个一级指标，下设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个二、三级指标。具体为：</w:t>
      </w:r>
    </w:p>
    <w:p>
      <w:pPr>
        <w:spacing w:line="600" w:lineRule="exact"/>
        <w:jc w:val="both"/>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产出指标  </w:t>
      </w:r>
      <w:r>
        <w:rPr>
          <w:rFonts w:hint="eastAsia" w:ascii="仿宋_GB2312" w:eastAsia="仿宋_GB2312"/>
          <w:sz w:val="32"/>
          <w:szCs w:val="32"/>
          <w:highlight w:val="none"/>
        </w:rPr>
        <w:t>数量指标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968.311713万元</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rPr>
        <w:t>资金按预算安排统一发放</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资金按时拨付</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效益指标  </w:t>
      </w:r>
      <w:r>
        <w:rPr>
          <w:rFonts w:hint="eastAsia" w:ascii="仿宋_GB2312" w:eastAsia="仿宋_GB2312"/>
          <w:sz w:val="32"/>
          <w:szCs w:val="32"/>
          <w:highlight w:val="none"/>
        </w:rPr>
        <w:t>经济效益</w:t>
      </w:r>
      <w:r>
        <w:rPr>
          <w:rFonts w:hint="eastAsia" w:ascii="仿宋_GB2312" w:eastAsia="仿宋_GB2312"/>
          <w:sz w:val="32"/>
          <w:szCs w:val="32"/>
          <w:highlight w:val="none"/>
        </w:rPr>
        <w:tab/>
      </w:r>
      <w:r>
        <w:rPr>
          <w:rFonts w:hint="eastAsia" w:ascii="仿宋_GB2312" w:eastAsia="仿宋_GB2312"/>
          <w:sz w:val="32"/>
          <w:szCs w:val="32"/>
          <w:highlight w:val="none"/>
        </w:rPr>
        <w:t>保证机关经济稳定</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社会效益</w:t>
      </w:r>
      <w:r>
        <w:rPr>
          <w:rFonts w:hint="eastAsia" w:ascii="仿宋_GB2312" w:eastAsia="仿宋_GB2312"/>
          <w:sz w:val="32"/>
          <w:szCs w:val="32"/>
          <w:highlight w:val="none"/>
        </w:rPr>
        <w:tab/>
      </w:r>
      <w:r>
        <w:rPr>
          <w:rFonts w:hint="eastAsia" w:ascii="仿宋_GB2312" w:eastAsia="仿宋_GB2312"/>
          <w:sz w:val="32"/>
          <w:szCs w:val="32"/>
          <w:highlight w:val="none"/>
        </w:rPr>
        <w:t>保障机关稳定发展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ab/>
      </w:r>
    </w:p>
    <w:p>
      <w:pPr>
        <w:spacing w:line="600" w:lineRule="exact"/>
        <w:ind w:firstLine="1600" w:firstLineChars="500"/>
        <w:rPr>
          <w:rFonts w:hint="eastAsia" w:ascii="仿宋_GB2312" w:eastAsia="仿宋_GB2312"/>
          <w:sz w:val="32"/>
          <w:szCs w:val="32"/>
          <w:highlight w:val="none"/>
        </w:rPr>
      </w:pP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保证机关正常运转≥90%</w:t>
      </w:r>
    </w:p>
    <w:p>
      <w:pPr>
        <w:spacing w:line="600" w:lineRule="exact"/>
        <w:rPr>
          <w:rFonts w:hint="eastAsia" w:ascii="仿宋_GB2312" w:eastAsia="仿宋_GB2312"/>
          <w:sz w:val="32"/>
          <w:szCs w:val="32"/>
          <w:highlight w:val="none"/>
        </w:rPr>
      </w:pPr>
      <w:r>
        <w:rPr>
          <w:rFonts w:hint="eastAsia" w:ascii="仿宋_GB2312" w:eastAsia="仿宋_GB2312"/>
          <w:sz w:val="32"/>
          <w:szCs w:val="32"/>
          <w:highlight w:val="none"/>
          <w:lang w:val="en-US" w:eastAsia="zh-CN"/>
        </w:rPr>
        <w:t xml:space="preserve">满意度指标 </w:t>
      </w:r>
      <w:r>
        <w:rPr>
          <w:rFonts w:hint="eastAsia" w:ascii="仿宋_GB2312" w:eastAsia="仿宋_GB2312"/>
          <w:sz w:val="32"/>
          <w:szCs w:val="32"/>
          <w:highlight w:val="none"/>
        </w:rPr>
        <w:t>服务对象满意度指标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镇内满意度</w:t>
      </w:r>
      <w:r>
        <w:rPr>
          <w:rFonts w:hint="eastAsia" w:ascii="仿宋_GB2312" w:eastAsia="仿宋_GB2312"/>
          <w:sz w:val="32"/>
          <w:szCs w:val="32"/>
          <w:highlight w:val="none"/>
        </w:rPr>
        <w:tab/>
      </w:r>
      <w:r>
        <w:rPr>
          <w:rFonts w:hint="eastAsia" w:ascii="仿宋_GB2312" w:eastAsia="仿宋_GB2312"/>
          <w:sz w:val="32"/>
          <w:szCs w:val="32"/>
          <w:highlight w:val="none"/>
        </w:rPr>
        <w:t>≥90%</w:t>
      </w:r>
    </w:p>
    <w:p>
      <w:pPr>
        <w:spacing w:line="600" w:lineRule="exact"/>
        <w:ind w:firstLine="640" w:firstLineChars="200"/>
        <w:rPr>
          <w:rFonts w:hint="eastAsia" w:eastAsia="黑体"/>
          <w:sz w:val="32"/>
          <w:szCs w:val="32"/>
        </w:rPr>
      </w:pPr>
      <w:r>
        <w:rPr>
          <w:rFonts w:hint="eastAsia" w:ascii="仿宋_GB2312" w:eastAsia="仿宋_GB2312"/>
          <w:sz w:val="32"/>
          <w:szCs w:val="32"/>
          <w:highlight w:val="none"/>
        </w:rPr>
        <w:t>通过及时，客观的评价反映出整体效果优良，基本达到预期目标。</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（一）项目决策情况。首先依据县委、县政府重大决策立项，单位党委会讨论通过，向县政府申请，主管县领导明确批示后，再向财政局申请资金。</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（二）项目过程情况。对具体的项目制定具体实施方案，管理制度，考评制度，监督检查制度等。</w:t>
      </w:r>
    </w:p>
    <w:p>
      <w:pPr>
        <w:spacing w:line="600" w:lineRule="exact"/>
        <w:ind w:firstLine="640" w:firstLineChars="200"/>
        <w:outlineLvl w:val="0"/>
        <w:rPr>
          <w:rFonts w:ascii="仿宋_GB2312" w:eastAsia="仿宋_GB2312"/>
          <w:sz w:val="32"/>
          <w:szCs w:val="32"/>
        </w:rPr>
      </w:pPr>
      <w:r>
        <w:rPr>
          <w:rFonts w:hint="eastAsia" w:ascii="仿宋_GB2312" w:eastAsia="仿宋_GB2312"/>
          <w:sz w:val="32"/>
          <w:szCs w:val="32"/>
        </w:rPr>
        <w:t>（三）项目产出情况。要求指向精准，达到产出效果，并符合实际。</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（四）项目效益情况。从各个角度把关，保障成本与效益匹配。取得经济和社会效益。</w:t>
      </w:r>
    </w:p>
    <w:p>
      <w:pPr>
        <w:numPr>
          <w:ilvl w:val="0"/>
          <w:numId w:val="1"/>
        </w:numPr>
        <w:spacing w:line="600" w:lineRule="exact"/>
        <w:ind w:firstLine="640" w:firstLineChars="200"/>
        <w:rPr>
          <w:rFonts w:hint="eastAsia" w:eastAsia="黑体"/>
          <w:sz w:val="32"/>
          <w:szCs w:val="32"/>
        </w:rPr>
      </w:pPr>
      <w:r>
        <w:rPr>
          <w:rFonts w:hint="eastAsia" w:eastAsia="黑体"/>
          <w:sz w:val="32"/>
          <w:szCs w:val="32"/>
        </w:rPr>
        <w:t>主要经验及做法、存在的问题及原因分析</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（一）主要经验及做法</w:t>
      </w:r>
    </w:p>
    <w:p>
      <w:pPr>
        <w:spacing w:line="600" w:lineRule="exact"/>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、根据部门工作性质申报立项依据，做到立项依据充分，有资金管理办法且符合规范；</w:t>
      </w:r>
    </w:p>
    <w:p>
      <w:pPr>
        <w:spacing w:line="600" w:lineRule="exact"/>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、根据部门工作性质合理分配项目资金，做到重点突出，公平公正，资金分配和使用方向与资金管理办法相符；</w:t>
      </w:r>
    </w:p>
    <w:p>
      <w:pPr>
        <w:spacing w:line="600" w:lineRule="exact"/>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、项目资金要做到使用严格执行各种财经纪律，符合规范，无截留、无挪用等现；</w:t>
      </w:r>
    </w:p>
    <w:p>
      <w:pPr>
        <w:spacing w:line="600" w:lineRule="exact"/>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、运用绩效评价结果，改进管理，合理预算安排，根据评价结果落实修正绩效目标。</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（二）存在的问题及原因分析</w:t>
      </w:r>
    </w:p>
    <w:p>
      <w:pPr>
        <w:spacing w:line="600" w:lineRule="exact"/>
        <w:ind w:firstLine="640" w:firstLineChars="200"/>
        <w:rPr>
          <w:rFonts w:hint="default" w:eastAsia="黑体"/>
          <w:sz w:val="32"/>
          <w:szCs w:val="32"/>
          <w:lang w:val="en-US" w:eastAsia="zh-CN"/>
        </w:rPr>
      </w:pPr>
      <w:r>
        <w:rPr>
          <w:rFonts w:hint="eastAsia" w:ascii="仿宋" w:hAnsi="仿宋" w:eastAsia="仿宋"/>
          <w:sz w:val="32"/>
          <w:szCs w:val="32"/>
        </w:rPr>
        <w:t>由于缺乏足够的专业知识和经验，在处理一些专业性问题上还存在不足，今后有待进一步加强。</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有关建议</w:t>
      </w:r>
    </w:p>
    <w:p>
      <w:pPr>
        <w:spacing w:line="600" w:lineRule="exact"/>
        <w:ind w:firstLine="640" w:firstLineChars="200"/>
        <w:rPr>
          <w:rFonts w:hint="default" w:ascii="仿宋" w:hAnsi="仿宋" w:eastAsia="仿宋"/>
          <w:sz w:val="32"/>
          <w:szCs w:val="32"/>
          <w:lang w:val="en-US" w:eastAsia="zh-CN"/>
        </w:rPr>
      </w:pPr>
      <w:r>
        <w:rPr>
          <w:rFonts w:hint="eastAsia" w:ascii="仿宋" w:hAnsi="仿宋" w:eastAsia="仿宋"/>
          <w:sz w:val="32"/>
          <w:szCs w:val="32"/>
        </w:rPr>
        <w:t>希望上级部门加强对基层工作人员的业务培训，提升其业务素质。</w:t>
      </w:r>
    </w:p>
    <w:p>
      <w:pPr>
        <w:numPr>
          <w:ilvl w:val="0"/>
          <w:numId w:val="1"/>
        </w:numPr>
        <w:spacing w:line="600" w:lineRule="exact"/>
        <w:ind w:left="0" w:leftChars="0" w:firstLine="640" w:firstLineChars="200"/>
        <w:rPr>
          <w:rFonts w:hint="eastAsia" w:eastAsia="黑体"/>
          <w:sz w:val="32"/>
          <w:szCs w:val="32"/>
        </w:rPr>
      </w:pPr>
      <w:r>
        <w:rPr>
          <w:rFonts w:hint="eastAsia" w:eastAsia="黑体"/>
          <w:sz w:val="32"/>
          <w:szCs w:val="32"/>
        </w:rPr>
        <w:t>其他需要说明的问题</w:t>
      </w:r>
    </w:p>
    <w:p>
      <w:pPr>
        <w:numPr>
          <w:ilvl w:val="0"/>
          <w:numId w:val="0"/>
        </w:numPr>
        <w:spacing w:line="600" w:lineRule="exact"/>
        <w:ind w:leftChars="200" w:firstLine="640" w:firstLineChars="200"/>
        <w:rPr>
          <w:rFonts w:hint="default" w:eastAsia="黑体"/>
          <w:sz w:val="32"/>
          <w:szCs w:val="32"/>
          <w:lang w:val="en-US" w:eastAsia="zh-CN"/>
        </w:rPr>
      </w:pPr>
      <w:r>
        <w:rPr>
          <w:rFonts w:hint="eastAsia" w:eastAsia="黑体"/>
          <w:sz w:val="32"/>
          <w:szCs w:val="32"/>
          <w:lang w:val="en-US" w:eastAsia="zh-CN"/>
        </w:rPr>
        <w:t xml:space="preserve"> </w:t>
      </w:r>
      <w:r>
        <w:rPr>
          <w:rFonts w:hint="eastAsia" w:ascii="仿宋" w:hAnsi="仿宋" w:eastAsia="仿宋"/>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E4209A"/>
    <w:multiLevelType w:val="singleLevel"/>
    <w:tmpl w:val="66E4209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D72339"/>
    <w:rsid w:val="006D698D"/>
    <w:rsid w:val="007B014A"/>
    <w:rsid w:val="008D0681"/>
    <w:rsid w:val="00D72339"/>
    <w:rsid w:val="0AC51D87"/>
    <w:rsid w:val="0FD13331"/>
    <w:rsid w:val="106A4E31"/>
    <w:rsid w:val="2D95310F"/>
    <w:rsid w:val="44787793"/>
    <w:rsid w:val="4595474B"/>
    <w:rsid w:val="49D67DF9"/>
    <w:rsid w:val="50F36434"/>
    <w:rsid w:val="51D879E2"/>
    <w:rsid w:val="55A36D6D"/>
    <w:rsid w:val="5D813CB4"/>
    <w:rsid w:val="63AF0C61"/>
    <w:rsid w:val="689600E9"/>
    <w:rsid w:val="72E068FF"/>
    <w:rsid w:val="77E44DC5"/>
    <w:rsid w:val="7AAB5A98"/>
    <w:rsid w:val="7E193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51</TotalTime>
  <ScaleCrop>false</ScaleCrop>
  <LinksUpToDate>false</LinksUpToDate>
  <CharactersWithSpaces>826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LX</cp:lastModifiedBy>
  <cp:lastPrinted>2022-07-11T08:06:00Z</cp:lastPrinted>
  <dcterms:modified xsi:type="dcterms:W3CDTF">2024-04-24T06:34:24Z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4B062AB56C994BA7A245E1B8420788E0_13</vt:lpwstr>
  </property>
</Properties>
</file>