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村保洁员补助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（一）项目概况。保证村保洁员补助按时发放</w:t>
      </w:r>
      <w:r>
        <w:rPr>
          <w:rFonts w:hint="eastAsia" w:ascii="仿宋_GB2312" w:eastAsia="仿宋_GB2312"/>
          <w:sz w:val="32"/>
          <w:szCs w:val="32"/>
          <w:lang w:eastAsia="zh-CN"/>
        </w:rPr>
        <w:t>。</w:t>
      </w:r>
      <w:r>
        <w:rPr>
          <w:rFonts w:hint="eastAsia" w:ascii="仿宋_GB2312" w:eastAsia="仿宋_GB2312"/>
          <w:sz w:val="32"/>
          <w:szCs w:val="32"/>
          <w:lang w:val="en-US" w:eastAsia="zh-CN"/>
        </w:rPr>
        <w:t>全年预算数为22.7万元。</w:t>
      </w:r>
    </w:p>
    <w:p>
      <w:pPr>
        <w:spacing w:line="60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（二）项目绩效目标。保证村保洁员补助按时发放</w:t>
      </w:r>
      <w:r>
        <w:rPr>
          <w:rFonts w:hint="eastAsia" w:ascii="仿宋_GB2312" w:eastAsia="仿宋_GB2312"/>
          <w:sz w:val="32"/>
          <w:szCs w:val="32"/>
          <w:lang w:eastAsia="zh-CN"/>
        </w:rPr>
        <w:t>，</w:t>
      </w:r>
      <w:r>
        <w:rPr>
          <w:rFonts w:hint="eastAsia" w:ascii="仿宋_GB2312" w:eastAsia="仿宋_GB2312"/>
          <w:sz w:val="32"/>
          <w:szCs w:val="32"/>
          <w:lang w:val="en-US" w:eastAsia="zh-CN"/>
        </w:rPr>
        <w:t>保证环境卫生。</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9</w:t>
      </w:r>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 xml:space="preserve">22.7万元 </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村内环境干净整洁</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按成本控制发放率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生态效益</w:t>
      </w:r>
      <w:r>
        <w:rPr>
          <w:rFonts w:hint="eastAsia" w:ascii="仿宋_GB2312" w:eastAsia="仿宋_GB2312"/>
          <w:sz w:val="32"/>
          <w:szCs w:val="32"/>
          <w:highlight w:val="none"/>
        </w:rPr>
        <w:tab/>
      </w:r>
      <w:r>
        <w:rPr>
          <w:rFonts w:hint="eastAsia" w:ascii="仿宋_GB2312" w:eastAsia="仿宋_GB2312"/>
          <w:sz w:val="32"/>
          <w:szCs w:val="32"/>
          <w:highlight w:val="none"/>
        </w:rPr>
        <w:t>促进村内生态环境改善</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numId w:val="0"/>
        </w:numPr>
        <w:spacing w:line="600" w:lineRule="exact"/>
        <w:rPr>
          <w:rFonts w:hint="eastAsia" w:eastAsia="黑体"/>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bookmarkStart w:id="0" w:name="_GoBack"/>
      <w:bookmarkEnd w:id="0"/>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1CC45B6"/>
    <w:rsid w:val="0FD13331"/>
    <w:rsid w:val="106A4E31"/>
    <w:rsid w:val="28751C2C"/>
    <w:rsid w:val="3FD81956"/>
    <w:rsid w:val="44787793"/>
    <w:rsid w:val="4595474B"/>
    <w:rsid w:val="49D67DF9"/>
    <w:rsid w:val="51D879E2"/>
    <w:rsid w:val="5ACE64EC"/>
    <w:rsid w:val="63AF0C61"/>
    <w:rsid w:val="689600E9"/>
    <w:rsid w:val="7AAB5A98"/>
    <w:rsid w:val="7EDC72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2024-04-24T07:22:54Z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