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single"/>
          <w:lang w:val="en-US" w:eastAsia="zh-CN"/>
        </w:rPr>
        <w:t>村公共卫生防疫</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村公共卫生防疫项目是为我镇村公共卫生防疫设立的专项补助经费，主要用于保障村公共卫生防疫</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总体绩效目标是确保我镇村公共卫生防疫工作顺利展开，有足够的人员等进行政策落实工作，。阶段性目标是按照季节及政策环境的变化能够分阶段开展工作。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61A1D46"/>
    <w:rsid w:val="1D4F26F1"/>
    <w:rsid w:val="27C40870"/>
    <w:rsid w:val="2F4B38BA"/>
    <w:rsid w:val="310A781F"/>
    <w:rsid w:val="3C935621"/>
    <w:rsid w:val="44787793"/>
    <w:rsid w:val="4595474B"/>
    <w:rsid w:val="46522326"/>
    <w:rsid w:val="49D67DF9"/>
    <w:rsid w:val="4BEB1E55"/>
    <w:rsid w:val="51D879E2"/>
    <w:rsid w:val="526C3B04"/>
    <w:rsid w:val="573723E8"/>
    <w:rsid w:val="59FB4FAC"/>
    <w:rsid w:val="5BAB771D"/>
    <w:rsid w:val="5D7648B7"/>
    <w:rsid w:val="62CC20C8"/>
    <w:rsid w:val="63AF0C61"/>
    <w:rsid w:val="65CE5D6D"/>
    <w:rsid w:val="674821EF"/>
    <w:rsid w:val="73F0749E"/>
    <w:rsid w:val="758B7C0E"/>
    <w:rsid w:val="793C0EDB"/>
    <w:rsid w:val="7ADC1745"/>
    <w:rsid w:val="7D26171E"/>
    <w:rsid w:val="7DE06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2023-07-15T10:48:00Z</cp:lastPrinted>
  <dcterms:modified xsi:type="dcterms:W3CDTF">2024-04-17T09:05:20Z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