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杨家板桥镇人民政府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村级组织运转</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（一）项目概况。村级组织运转</w:t>
      </w:r>
      <w:r>
        <w:rPr>
          <w:rFonts w:hint="eastAsia" w:ascii="仿宋_GB2312" w:eastAsia="仿宋_GB2312"/>
          <w:sz w:val="32"/>
          <w:szCs w:val="32"/>
          <w:lang w:eastAsia="zh-CN"/>
        </w:rPr>
        <w:t>项目是为我镇</w:t>
      </w:r>
      <w:r>
        <w:rPr>
          <w:rFonts w:hint="eastAsia" w:ascii="仿宋_GB2312" w:eastAsia="仿宋_GB2312"/>
          <w:sz w:val="32"/>
          <w:szCs w:val="32"/>
        </w:rPr>
        <w:t>村级组织运转</w:t>
      </w:r>
      <w:r>
        <w:rPr>
          <w:rFonts w:hint="eastAsia" w:ascii="仿宋_GB2312" w:eastAsia="仿宋_GB2312"/>
          <w:sz w:val="32"/>
          <w:szCs w:val="32"/>
          <w:lang w:eastAsia="zh-CN"/>
        </w:rPr>
        <w:t>专项补助经费，主要用于保障我镇</w:t>
      </w:r>
      <w:r>
        <w:rPr>
          <w:rFonts w:hint="eastAsia" w:ascii="仿宋_GB2312" w:eastAsia="仿宋_GB2312"/>
          <w:sz w:val="32"/>
          <w:szCs w:val="32"/>
        </w:rPr>
        <w:t>村级组织运转</w:t>
      </w:r>
      <w:r>
        <w:rPr>
          <w:rFonts w:hint="eastAsia" w:ascii="仿宋_GB2312" w:eastAsia="仿宋_GB2312"/>
          <w:sz w:val="32"/>
          <w:szCs w:val="32"/>
          <w:lang w:eastAsia="zh-CN"/>
        </w:rPr>
        <w:t>工作及进展</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总体绩效目标是确保我镇</w:t>
      </w:r>
      <w:r>
        <w:rPr>
          <w:rFonts w:hint="eastAsia" w:ascii="仿宋_GB2312" w:eastAsia="仿宋_GB2312"/>
          <w:sz w:val="32"/>
          <w:szCs w:val="32"/>
        </w:rPr>
        <w:t>村</w:t>
      </w:r>
      <w:r>
        <w:rPr>
          <w:rFonts w:hint="eastAsia" w:ascii="仿宋_GB2312" w:eastAsia="仿宋_GB2312"/>
          <w:sz w:val="32"/>
          <w:szCs w:val="32"/>
          <w:lang w:eastAsia="zh-CN"/>
        </w:rPr>
        <w:t>保洁员补助工作顺利展开，有足够的人员等进行政策落实工作，。阶段性目标是按照季节及政策环境的变化能够分阶段开展工作。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绩效评价原则是按照项目的可行性及可实施性和具体的实施过程进行评价具体评价指标体系及评价标准见附表。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（三）绩效评价工作过程。</w:t>
      </w:r>
      <w:r>
        <w:rPr>
          <w:rFonts w:hint="eastAsia" w:ascii="仿宋_GB2312" w:eastAsia="仿宋_GB2312"/>
          <w:sz w:val="32"/>
          <w:szCs w:val="32"/>
          <w:lang w:eastAsia="zh-CN"/>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lang w:eastAsia="zh-CN"/>
        </w:rPr>
      </w:pPr>
      <w:r>
        <w:rPr>
          <w:rFonts w:hint="eastAsia" w:ascii="仿宋_GB2312" w:eastAsia="仿宋_GB2312"/>
          <w:sz w:val="32"/>
          <w:szCs w:val="32"/>
          <w:lang w:eastAsia="zh-CN"/>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项目为日常安保环保秩序维护项目，贯穿全年。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确保了镇区生产安全及机关运行秩序。</w:t>
      </w:r>
    </w:p>
    <w:p>
      <w:pPr>
        <w:spacing w:line="600" w:lineRule="exact"/>
        <w:ind w:firstLine="640" w:firstLineChars="200"/>
        <w:outlineLvl w:val="0"/>
        <w:rPr>
          <w:rFonts w:hint="eastAsia" w:ascii="仿宋_GB2312" w:eastAsia="仿宋_GB2312"/>
          <w:sz w:val="32"/>
          <w:szCs w:val="32"/>
          <w:lang w:eastAsia="zh-CN"/>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附表一：</w:t>
      </w:r>
    </w:p>
    <w:tbl>
      <w:tblPr>
        <w:tblStyle w:val="4"/>
        <w:tblW w:w="9510" w:type="dxa"/>
        <w:tblInd w:w="93" w:type="dxa"/>
        <w:shd w:val="clear" w:color="auto" w:fill="auto"/>
        <w:tblLayout w:type="autofit"/>
        <w:tblCellMar>
          <w:top w:w="0" w:type="dxa"/>
          <w:left w:w="108" w:type="dxa"/>
          <w:bottom w:w="0" w:type="dxa"/>
          <w:right w:w="108" w:type="dxa"/>
        </w:tblCellMar>
      </w:tblPr>
      <w:tblGrid>
        <w:gridCol w:w="1350"/>
        <w:gridCol w:w="1365"/>
        <w:gridCol w:w="1185"/>
        <w:gridCol w:w="5610"/>
      </w:tblGrid>
      <w:tr>
        <w:tblPrEx>
          <w:shd w:val="clear" w:color="auto" w:fill="auto"/>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评分规则</w:t>
            </w:r>
          </w:p>
        </w:tc>
      </w:tr>
      <w:tr>
        <w:tblPrEx>
          <w:shd w:val="clear" w:color="auto" w:fill="auto"/>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一、立项必要性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依据县委、县政府重大决策立项，得5分,主要指县主要领导明确的批示、意见，县委常委会、县政府常务会会议纪要等。</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依据国家、省发展规划、方针政策或部门分管市领导批示、会议纪要立项，得5分。</w:t>
            </w:r>
          </w:p>
        </w:tc>
      </w:tr>
      <w:tr>
        <w:tblPrEx>
          <w:shd w:val="clear" w:color="auto" w:fill="auto"/>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依据县级部门职能及中长期发展规划、部门年度工作计划或项目规划立项，得3分。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项目必须实施，预算资金由财政安排，得5分。</w:t>
            </w:r>
          </w:p>
        </w:tc>
      </w:tr>
      <w:tr>
        <w:tblPrEx>
          <w:shd w:val="clear" w:color="auto" w:fill="auto"/>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存在分年度安排情况，得2分。无紧迫性，不得分。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属于县级财政事权范围，得2分，反之不得分。</w:t>
            </w:r>
          </w:p>
        </w:tc>
      </w:tr>
      <w:tr>
        <w:tblPrEx>
          <w:shd w:val="clear" w:color="auto" w:fill="auto"/>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相同或相近领域无用途相似的预算安排，得3分；反之不得分。</w:t>
            </w:r>
          </w:p>
        </w:tc>
      </w:tr>
      <w:tr>
        <w:tblPrEx>
          <w:shd w:val="clear" w:color="auto" w:fill="auto"/>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二、实施可行性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具备明确的管理制度，得5分；没有不得分。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具备可行的实施方案，得10分；没有不得分。</w:t>
            </w:r>
          </w:p>
        </w:tc>
      </w:tr>
      <w:tr>
        <w:tblPrEx>
          <w:shd w:val="clear" w:color="auto" w:fill="auto"/>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具备最优的实施路径，得8分；反之不得分。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具备风险防控方案或风险评估报告，得2分；没有不得分。</w:t>
            </w:r>
          </w:p>
        </w:tc>
      </w:tr>
      <w:tr>
        <w:tblPrEx>
          <w:shd w:val="clear" w:color="auto" w:fill="auto"/>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三、绩效目标合理性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能精准反映预算支出的产出和效果，得5分； 没有不得分。</w:t>
            </w:r>
          </w:p>
        </w:tc>
      </w:tr>
      <w:tr>
        <w:tblPrEx>
          <w:shd w:val="clear" w:color="auto" w:fill="auto"/>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目标符合客观实际，一定时期内能够实现，得5分；反之不得分。</w:t>
            </w:r>
          </w:p>
        </w:tc>
      </w:tr>
      <w:tr>
        <w:tblPrEx>
          <w:shd w:val="clear" w:color="auto" w:fill="auto"/>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绩效目标指标细化、量化，得5分；反之不得分。</w:t>
            </w:r>
          </w:p>
        </w:tc>
      </w:tr>
      <w:tr>
        <w:tblPrEx>
          <w:shd w:val="clear" w:color="auto" w:fill="auto"/>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绩效指标数量不少于6条，得5分；每缺少1条，扣1分。</w:t>
            </w:r>
          </w:p>
        </w:tc>
      </w:tr>
      <w:tr>
        <w:tblPrEx>
          <w:shd w:val="clear" w:color="auto" w:fill="auto"/>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四、投入经济性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五、筹资合规性</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实施期内县级财力能够承受，得10分；反之不得分。</w:t>
            </w: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61A1D46"/>
    <w:rsid w:val="1D4F26F1"/>
    <w:rsid w:val="36400AE6"/>
    <w:rsid w:val="44787793"/>
    <w:rsid w:val="4595474B"/>
    <w:rsid w:val="49D67DF9"/>
    <w:rsid w:val="51D879E2"/>
    <w:rsid w:val="526C3B04"/>
    <w:rsid w:val="573723E8"/>
    <w:rsid w:val="62CC20C8"/>
    <w:rsid w:val="63AF0C61"/>
    <w:rsid w:val="65CE5D6D"/>
    <w:rsid w:val="7D261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2023-07-15T10:22:38Z</cp:lastPrinted>
  <dcterms:modified xsi:type="dcterms:W3CDTF">2023-07-15T10:22:41Z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