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冀农财【2022】144号小南庄村一事一议道路硬化工程</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冀农财【2022】144号小南庄村一事一议道路硬化工程</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冀农财【2022】144号小南庄村一事一议道路硬化工程</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冀农财【2022】144号小南庄村一事一议道路硬化工程</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冀农财【2022】144号小南庄村一事一议道路硬化工程</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冀农财【2022】144号小南庄村一事一议道路硬化工程</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冀农财【2022】144号小南庄村一事一议道路硬化工程</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冀农财【2022】144号小南庄村一事一议道路硬化工程</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8F83B7C"/>
    <w:rsid w:val="09A509CD"/>
    <w:rsid w:val="0DBF66A4"/>
    <w:rsid w:val="0FD13331"/>
    <w:rsid w:val="20135B33"/>
    <w:rsid w:val="254C1E4D"/>
    <w:rsid w:val="267328C1"/>
    <w:rsid w:val="31445491"/>
    <w:rsid w:val="36A25390"/>
    <w:rsid w:val="37841372"/>
    <w:rsid w:val="40123865"/>
    <w:rsid w:val="4595474B"/>
    <w:rsid w:val="49D67DF9"/>
    <w:rsid w:val="4EA26A7C"/>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2024-04-23T07:59:57Z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