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唐山碧花园项目被拆房主马德新补偿款</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唐山碧花园项目被拆房主马德新补偿款</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highlight w:val="none"/>
        </w:rPr>
        <w:t>项目运行及维护过程要注重实施的有效性，随时进行</w:t>
      </w:r>
      <w:r>
        <w:rPr>
          <w:rFonts w:hint="eastAsia" w:ascii="仿宋_GB2312" w:eastAsia="仿宋_GB2312"/>
          <w:sz w:val="32"/>
          <w:szCs w:val="32"/>
        </w:rPr>
        <w:t>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2A42D46"/>
    <w:rsid w:val="09A509CD"/>
    <w:rsid w:val="0DBF66A4"/>
    <w:rsid w:val="0FD13331"/>
    <w:rsid w:val="20135B33"/>
    <w:rsid w:val="31445491"/>
    <w:rsid w:val="36A25390"/>
    <w:rsid w:val="37841372"/>
    <w:rsid w:val="40123865"/>
    <w:rsid w:val="4595474B"/>
    <w:rsid w:val="49D67DF9"/>
    <w:rsid w:val="51D879E2"/>
    <w:rsid w:val="54091A51"/>
    <w:rsid w:val="590943B5"/>
    <w:rsid w:val="63AF0C61"/>
    <w:rsid w:val="64056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2024-04-23T08:02:27Z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