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left="6078" w:leftChars="456" w:hanging="5120" w:hangingChars="1600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玉田县唐自头镇人民政府           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0315-6488456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玉田县财政镇监制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1779.98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1511.4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84.91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：100%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（1）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行政运转保障</w:t>
      </w:r>
    </w:p>
    <w:p>
      <w:pPr>
        <w:spacing w:line="600" w:lineRule="atLeast"/>
        <w:ind w:firstLine="640" w:firstLineChars="20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年度预算安排支出主要用于保障我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Times New Roman"/>
          <w:sz w:val="32"/>
          <w:szCs w:val="32"/>
        </w:rPr>
        <w:t>机构正常运转，完成日常工作任务，管理和应用好项目资金，保障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我镇各项</w:t>
      </w:r>
      <w:r>
        <w:rPr>
          <w:rFonts w:hint="eastAsia" w:ascii="仿宋" w:hAnsi="仿宋" w:eastAsia="仿宋" w:cs="Times New Roman"/>
          <w:sz w:val="32"/>
          <w:szCs w:val="32"/>
        </w:rPr>
        <w:t>事业发展等工作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基本支出，是用于保障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Times New Roman"/>
          <w:sz w:val="32"/>
          <w:szCs w:val="32"/>
        </w:rPr>
        <w:t>机关正常运转的日常支出,包括基本工资、津贴补贴、社会保障、机关事业单位基本养老保险、离退休费、住房公积金和日常公用经费等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项目支出，是用于保障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Times New Roman"/>
          <w:sz w:val="32"/>
          <w:szCs w:val="32"/>
        </w:rPr>
        <w:t>为完成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日常办公经费运转的</w:t>
      </w:r>
      <w:r>
        <w:rPr>
          <w:rFonts w:hint="eastAsia" w:ascii="仿宋" w:hAnsi="仿宋" w:eastAsia="仿宋" w:cs="Times New Roman"/>
          <w:sz w:val="32"/>
          <w:szCs w:val="32"/>
        </w:rPr>
        <w:t>工作任务或事业发展目标，用于专项业务工作的经费支出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（2）、机关厉行节约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严格执行中央八项规定和省、市十项规定，从严控制“三公”经费预算支出。2023年全年无因公出国（境）费用，车辆运行维护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费2.22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万元；公务接待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费0万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元。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（3）、机关节能降耗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严格执行党政机关厉行节约反对浪费规定，倡导镇机关工作人员自觉养成艰苦朴素、勤俭节约 的良好风尚,进一步推进节约型机关建设，着力降低单位能耗，从细微处着手，培育良好生活、工作习惯，离开办公室要随手关灯，杜绝“长明灯”、“白昼灯”,下班后自觉关闭各类电器设备电源，做到节约用水，增强勤俭节约意识。规范办公用品采购，加强办公用品的使用管理，积极推行网络办公，尽量在电子媒介上撰写、修改文稿,加快推进无纸化办公进程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按照我镇预算绩效管理工作的总体要求，结合我镇的实际情况，通过对绩效自评结果与年初绩效目标设定对比，我们认为，2023年我镇预算绩效目标、指标设置全面完整、科学合理，绩效目标和指标值匹配度较高。评价指标的设定，既有具体可考的客观指标，又有综合定性的主观指标，定量与定性指标权量安排合理、恰当，能够准确地反映出项目运行的结果。通过整体全面、科学合理的预算绩效目标、指标设定，强化了相关职能部门的责任，提高了财政资金的支出效率。</w:t>
      </w:r>
    </w:p>
    <w:p>
      <w:pPr>
        <w:widowControl w:val="0"/>
        <w:numPr>
          <w:ilvl w:val="0"/>
          <w:numId w:val="0"/>
        </w:numPr>
        <w:ind w:leftChars="0" w:firstLine="1920" w:firstLineChars="6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 xml:space="preserve">487玉田县唐自头镇人民政府本级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675"/>
        <w:gridCol w:w="1062"/>
        <w:gridCol w:w="1064"/>
        <w:gridCol w:w="1064"/>
        <w:gridCol w:w="1064"/>
        <w:gridCol w:w="1064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9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7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9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21.5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村党组织活动经费-村党员培训等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9.95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村党组织活动经费-村党员培训等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19.3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52.2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15.2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森林防火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森林防火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河渠治理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河渠治理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党团妇建设、纪检、宣传、人武经费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党团妇建设、纪检、宣传、人武经费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2022年人饮井更新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2022年人饮井更新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18.27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2023年机井更新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2023年机井更新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疫情防控经费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疫情防控经费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26.5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疫情防控经费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3.33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疫情防控经费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土地勘测资金支出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土地勘测资金支出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森林防火资金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15.9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森林防火资金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52.2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14.04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临时救助点租赁、改造等所需资金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59.89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临时救助点租赁、改造等所需资金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乡村振兴片区拉练环境整治所需资金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乡村振兴片区拉练环境整治所需资金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拆违拆迁补助所需资金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94.8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拆违拆迁补助所需资金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全市项目观摩沿线整治所需资金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138.33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全市项目观摩沿线整治所需资金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口子山旅游公路两侧环境治理所需资金</w:t>
            </w:r>
          </w:p>
        </w:tc>
        <w:tc>
          <w:tcPr>
            <w:tcW w:w="3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9.85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口子山旅游公路两侧环境治理所需资金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</w:t>
      </w:r>
      <w:r>
        <w:rPr>
          <w:rFonts w:hint="eastAsia" w:ascii="仿宋_GB2312" w:eastAsia="仿宋_GB2312"/>
          <w:sz w:val="32"/>
          <w:szCs w:val="32"/>
          <w:lang w:eastAsia="zh-CN"/>
        </w:rPr>
        <w:t>镇</w:t>
      </w:r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31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1779.98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BB899D"/>
    <w:multiLevelType w:val="singleLevel"/>
    <w:tmpl w:val="D4BB899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19F7FC4"/>
    <w:rsid w:val="39B8262A"/>
    <w:rsid w:val="70E0537A"/>
    <w:rsid w:val="719B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2024-04-18T01:37:22Z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