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default"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eastAsia="zh-CN"/>
        </w:rPr>
        <w:t>玉田县唐自头镇人民政府</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u w:val="single"/>
          <w:lang w:val="en-US" w:eastAsia="zh-CN"/>
        </w:rPr>
        <w:t>村级组织运转</w:t>
      </w:r>
      <w:r>
        <w:rPr>
          <w:rFonts w:hint="eastAsia" w:ascii="方正小标宋_GBK" w:hAnsi="宋体" w:eastAsia="方正小标宋_GBK" w:cs="宋体"/>
          <w:bCs/>
          <w:kern w:val="0"/>
          <w:sz w:val="44"/>
          <w:szCs w:val="44"/>
        </w:rPr>
        <w:t>项目支出绩效评</w:t>
      </w:r>
      <w:bookmarkStart w:id="0" w:name="_GoBack"/>
      <w:bookmarkEnd w:id="0"/>
      <w:r>
        <w:rPr>
          <w:rFonts w:hint="eastAsia" w:ascii="方正小标宋_GBK" w:hAnsi="宋体" w:eastAsia="方正小标宋_GBK" w:cs="宋体"/>
          <w:bCs/>
          <w:kern w:val="0"/>
          <w:sz w:val="44"/>
          <w:szCs w:val="44"/>
        </w:rPr>
        <w:t>价报告</w:t>
      </w:r>
    </w:p>
    <w:p>
      <w:pPr>
        <w:spacing w:line="600" w:lineRule="exact"/>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（一）项目概况。</w:t>
      </w:r>
      <w:r>
        <w:rPr>
          <w:rFonts w:hint="eastAsia" w:ascii="仿宋_GB2312" w:eastAsia="仿宋_GB2312"/>
          <w:sz w:val="32"/>
          <w:szCs w:val="32"/>
          <w:lang w:eastAsia="zh-CN"/>
        </w:rPr>
        <w:t>村级组织运转</w:t>
      </w:r>
      <w:r>
        <w:rPr>
          <w:rFonts w:hint="eastAsia" w:ascii="仿宋_GB2312" w:eastAsia="仿宋_GB2312"/>
          <w:sz w:val="32"/>
          <w:szCs w:val="32"/>
        </w:rPr>
        <w:t>项目是为我镇</w:t>
      </w:r>
      <w:r>
        <w:rPr>
          <w:rFonts w:hint="eastAsia" w:ascii="仿宋_GB2312" w:eastAsia="仿宋_GB2312"/>
          <w:sz w:val="32"/>
          <w:szCs w:val="32"/>
          <w:lang w:eastAsia="zh-CN"/>
        </w:rPr>
        <w:t>村级组织运转</w:t>
      </w:r>
      <w:r>
        <w:rPr>
          <w:rFonts w:hint="eastAsia" w:ascii="仿宋_GB2312" w:eastAsia="仿宋_GB2312"/>
          <w:sz w:val="32"/>
          <w:szCs w:val="32"/>
        </w:rPr>
        <w:t>工作设立的专项补助经费，主要用于保障</w:t>
      </w:r>
      <w:r>
        <w:rPr>
          <w:rFonts w:hint="eastAsia" w:ascii="仿宋_GB2312" w:eastAsia="仿宋_GB2312"/>
          <w:sz w:val="32"/>
          <w:szCs w:val="32"/>
          <w:lang w:eastAsia="zh-CN"/>
        </w:rPr>
        <w:t>村级组织运转</w:t>
      </w:r>
      <w:r>
        <w:rPr>
          <w:rFonts w:hint="eastAsia" w:ascii="仿宋_GB2312" w:eastAsia="仿宋_GB2312"/>
          <w:sz w:val="32"/>
          <w:szCs w:val="32"/>
        </w:rPr>
        <w:t>工作顺利开展。</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（二）项目绩效目标。项目绩效目标。总体绩效目标是确保我镇</w:t>
      </w:r>
      <w:r>
        <w:rPr>
          <w:rFonts w:hint="eastAsia" w:ascii="仿宋_GB2312" w:eastAsia="仿宋_GB2312"/>
          <w:sz w:val="32"/>
          <w:szCs w:val="32"/>
          <w:lang w:eastAsia="zh-CN"/>
        </w:rPr>
        <w:t>村级组织运转</w:t>
      </w:r>
      <w:r>
        <w:rPr>
          <w:rFonts w:hint="eastAsia" w:ascii="仿宋_GB2312" w:eastAsia="仿宋_GB2312"/>
          <w:sz w:val="32"/>
          <w:szCs w:val="32"/>
        </w:rPr>
        <w:t>工作顺利展开，有足够的人员等进行政策落实工作。阶段性目标是按照季节及政策环境的变化能够分阶段开展工作。</w:t>
      </w:r>
    </w:p>
    <w:p>
      <w:pPr>
        <w:numPr>
          <w:numId w:val="0"/>
        </w:numPr>
        <w:spacing w:line="600" w:lineRule="exact"/>
        <w:rPr>
          <w:rFonts w:hint="eastAsia" w:ascii="仿宋_GB2312" w:eastAsia="仿宋_GB2312"/>
          <w:sz w:val="32"/>
          <w:szCs w:val="32"/>
        </w:rPr>
      </w:pPr>
    </w:p>
    <w:p>
      <w:pPr>
        <w:spacing w:line="600" w:lineRule="exact"/>
        <w:rPr>
          <w:rFonts w:eastAsia="黑体"/>
          <w:sz w:val="32"/>
          <w:szCs w:val="32"/>
        </w:rPr>
      </w:pPr>
      <w:r>
        <w:rPr>
          <w:rFonts w:hint="eastAsia" w:eastAsia="黑体"/>
          <w:sz w:val="32"/>
          <w:szCs w:val="32"/>
        </w:rPr>
        <w:t>二、绩效评价工作开展情况</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绩效评价目的、对象和范围。绩效评价是为了能够让工作顺利的开展，有考核性质，提高工作人员工作积极性和主动性。绩效评价对象和范围主要是项目主要针对的方面的工作改善情况及日常工作的进行情况，以及工作人员的工作状态</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（三）绩效评价原则、评价指标体系（附表说明）、评价方法、评价标准等。</w:t>
      </w:r>
    </w:p>
    <w:p>
      <w:pPr>
        <w:spacing w:line="600" w:lineRule="exact"/>
        <w:ind w:firstLine="640" w:firstLineChars="200"/>
        <w:rPr>
          <w:rFonts w:hint="eastAsia" w:eastAsia="黑体"/>
          <w:sz w:val="32"/>
          <w:szCs w:val="32"/>
        </w:rPr>
      </w:pPr>
      <w:r>
        <w:rPr>
          <w:rFonts w:hint="eastAsia" w:eastAsia="黑体"/>
          <w:sz w:val="32"/>
          <w:szCs w:val="32"/>
        </w:rPr>
        <w:t>三、综合评价情况及评价结论</w:t>
      </w:r>
    </w:p>
    <w:p>
      <w:pPr>
        <w:spacing w:line="600" w:lineRule="exact"/>
        <w:ind w:firstLine="640" w:firstLineChars="200"/>
        <w:rPr>
          <w:rFonts w:eastAsia="黑体"/>
          <w:sz w:val="32"/>
          <w:szCs w:val="32"/>
        </w:rPr>
      </w:pPr>
      <w:r>
        <w:rPr>
          <w:rFonts w:hint="eastAsia" w:ascii="仿宋_GB2312" w:eastAsia="仿宋_GB2312"/>
          <w:sz w:val="32"/>
          <w:szCs w:val="32"/>
        </w:rPr>
        <w:t>项目有实施的必要性，且本项目是经县委县政府批准的日常性项目，为机关运转必要项目。</w:t>
      </w: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（一）项目决策情况。项目由县委县政府统一安排实施，已经过论证可行性。</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（二）项目过程情况。项目为</w:t>
      </w:r>
      <w:r>
        <w:rPr>
          <w:rFonts w:hint="eastAsia" w:ascii="仿宋_GB2312" w:eastAsia="仿宋_GB2312"/>
          <w:sz w:val="32"/>
          <w:szCs w:val="32"/>
          <w:lang w:eastAsia="zh-CN"/>
        </w:rPr>
        <w:t>村级组织运转</w:t>
      </w:r>
      <w:r>
        <w:rPr>
          <w:rFonts w:hint="eastAsia" w:ascii="仿宋_GB2312" w:eastAsia="仿宋_GB2312"/>
          <w:sz w:val="32"/>
          <w:szCs w:val="32"/>
        </w:rPr>
        <w:t>项目，贯穿全年。</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（三）项目产出情况。确保了镇区</w:t>
      </w:r>
      <w:r>
        <w:rPr>
          <w:rFonts w:hint="eastAsia" w:ascii="仿宋_GB2312" w:eastAsia="仿宋_GB2312"/>
          <w:sz w:val="32"/>
          <w:szCs w:val="32"/>
          <w:lang w:eastAsia="zh-CN"/>
        </w:rPr>
        <w:t>村级组织运转</w:t>
      </w:r>
      <w:r>
        <w:rPr>
          <w:rFonts w:hint="eastAsia" w:ascii="仿宋_GB2312" w:eastAsia="仿宋_GB2312"/>
          <w:sz w:val="32"/>
          <w:szCs w:val="32"/>
        </w:rPr>
        <w:t>及机关运行秩序。</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（四）项目效益情况。确保了镇区</w:t>
      </w:r>
      <w:r>
        <w:rPr>
          <w:rFonts w:hint="eastAsia" w:ascii="仿宋_GB2312" w:eastAsia="仿宋_GB2312"/>
          <w:sz w:val="32"/>
          <w:szCs w:val="32"/>
          <w:lang w:eastAsia="zh-CN"/>
        </w:rPr>
        <w:t>村级组织运转</w:t>
      </w:r>
      <w:r>
        <w:rPr>
          <w:rFonts w:hint="eastAsia" w:ascii="仿宋_GB2312" w:eastAsia="仿宋_GB2312"/>
          <w:sz w:val="32"/>
          <w:szCs w:val="32"/>
        </w:rPr>
        <w:t>及机关运行秩序。</w:t>
      </w:r>
    </w:p>
    <w:p>
      <w:pPr>
        <w:spacing w:line="600" w:lineRule="exact"/>
        <w:ind w:firstLine="640" w:firstLineChars="200"/>
        <w:rPr>
          <w:rFonts w:hint="eastAsia" w:eastAsia="黑体"/>
          <w:sz w:val="32"/>
          <w:szCs w:val="32"/>
        </w:rPr>
      </w:pPr>
      <w:r>
        <w:rPr>
          <w:rFonts w:hint="eastAsia" w:eastAsia="黑体"/>
          <w:sz w:val="32"/>
          <w:szCs w:val="32"/>
        </w:rPr>
        <w:t>五、主要经验及做法、存在的问题及原因分析</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经过项目论证及实施确保了项目运行平稳，认识到了事前项目论证的必要性。</w:t>
      </w:r>
    </w:p>
    <w:p>
      <w:pPr>
        <w:numPr>
          <w:ilvl w:val="0"/>
          <w:numId w:val="1"/>
        </w:numPr>
        <w:spacing w:line="600" w:lineRule="exact"/>
        <w:ind w:firstLine="640" w:firstLineChars="200"/>
        <w:rPr>
          <w:rFonts w:hint="eastAsia" w:eastAsia="黑体"/>
          <w:sz w:val="32"/>
          <w:szCs w:val="32"/>
        </w:rPr>
      </w:pPr>
      <w:r>
        <w:rPr>
          <w:rFonts w:hint="eastAsia" w:eastAsia="黑体"/>
          <w:sz w:val="32"/>
          <w:szCs w:val="32"/>
        </w:rPr>
        <w:t>有关建议</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项目运行及维护过程要注重实施的有效性，随时进行项目监督。保证项目落到实处。</w:t>
      </w:r>
    </w:p>
    <w:p>
      <w:pPr>
        <w:spacing w:line="600" w:lineRule="exact"/>
        <w:ind w:firstLine="640" w:firstLineChars="200"/>
        <w:rPr>
          <w:rFonts w:eastAsia="黑体"/>
          <w:sz w:val="32"/>
          <w:szCs w:val="32"/>
        </w:rPr>
      </w:pPr>
      <w:r>
        <w:rPr>
          <w:rFonts w:hint="eastAsia" w:eastAsia="黑体"/>
          <w:sz w:val="32"/>
          <w:szCs w:val="32"/>
        </w:rPr>
        <w:t>七、其他需要说明的问题</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无</w:t>
      </w:r>
    </w:p>
    <w:p>
      <w:pPr>
        <w:spacing w:line="600" w:lineRule="exact"/>
        <w:ind w:firstLine="640" w:firstLineChars="200"/>
        <w:outlineLvl w:val="0"/>
        <w:rPr>
          <w:rFonts w:ascii="仿宋_GB2312" w:eastAsia="仿宋_GB2312"/>
          <w:sz w:val="32"/>
          <w:szCs w:val="32"/>
        </w:rPr>
      </w:pPr>
    </w:p>
    <w:p>
      <w:pPr>
        <w:spacing w:line="600" w:lineRule="exact"/>
        <w:ind w:firstLine="640" w:firstLineChars="200"/>
        <w:outlineLvl w:val="0"/>
        <w:rPr>
          <w:rFonts w:ascii="仿宋_GB2312" w:eastAsia="仿宋_GB2312"/>
          <w:sz w:val="32"/>
          <w:szCs w:val="32"/>
        </w:rPr>
      </w:pPr>
    </w:p>
    <w:p>
      <w:pPr>
        <w:spacing w:line="600" w:lineRule="exact"/>
        <w:ind w:firstLine="640" w:firstLineChars="200"/>
        <w:outlineLvl w:val="0"/>
        <w:rPr>
          <w:rFonts w:ascii="仿宋_GB2312" w:eastAsia="仿宋_GB2312"/>
          <w:sz w:val="32"/>
          <w:szCs w:val="32"/>
        </w:rPr>
      </w:pP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附表一：</w:t>
      </w:r>
    </w:p>
    <w:tbl>
      <w:tblPr>
        <w:tblStyle w:val="4"/>
        <w:tblW w:w="9510" w:type="dxa"/>
        <w:tblInd w:w="93" w:type="dxa"/>
        <w:tblLayout w:type="autofit"/>
        <w:tblCellMar>
          <w:top w:w="0" w:type="dxa"/>
          <w:left w:w="108" w:type="dxa"/>
          <w:bottom w:w="0" w:type="dxa"/>
          <w:right w:w="108" w:type="dxa"/>
        </w:tblCellMar>
      </w:tblPr>
      <w:tblGrid>
        <w:gridCol w:w="1350"/>
        <w:gridCol w:w="1365"/>
        <w:gridCol w:w="1185"/>
        <w:gridCol w:w="5610"/>
      </w:tblGrid>
      <w:tr>
        <w:tblPrEx>
          <w:tblCellMar>
            <w:top w:w="0" w:type="dxa"/>
            <w:left w:w="108" w:type="dxa"/>
            <w:bottom w:w="0" w:type="dxa"/>
            <w:right w:w="108" w:type="dxa"/>
          </w:tblCellMar>
        </w:tblPrEx>
        <w:trPr>
          <w:trHeight w:val="555" w:hRule="atLeast"/>
        </w:trPr>
        <w:tc>
          <w:tcPr>
            <w:tcW w:w="13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 w:hAnsi="仿宋" w:eastAsia="仿宋" w:cs="仿宋"/>
                <w:b/>
                <w:bCs/>
                <w:color w:val="000000"/>
                <w:sz w:val="28"/>
                <w:szCs w:val="28"/>
              </w:rPr>
            </w:pPr>
            <w:r>
              <w:rPr>
                <w:rFonts w:hint="eastAsia" w:ascii="仿宋" w:hAnsi="仿宋" w:eastAsia="仿宋" w:cs="仿宋"/>
                <w:b/>
                <w:bCs/>
                <w:color w:val="000000"/>
                <w:kern w:val="0"/>
                <w:sz w:val="28"/>
                <w:szCs w:val="28"/>
              </w:rPr>
              <w:t>一级指标</w:t>
            </w: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 w:hAnsi="仿宋" w:eastAsia="仿宋" w:cs="仿宋"/>
                <w:b/>
                <w:bCs/>
                <w:color w:val="000000"/>
                <w:sz w:val="28"/>
                <w:szCs w:val="28"/>
              </w:rPr>
            </w:pPr>
            <w:r>
              <w:rPr>
                <w:rFonts w:hint="eastAsia" w:ascii="仿宋" w:hAnsi="仿宋" w:eastAsia="仿宋" w:cs="仿宋"/>
                <w:b/>
                <w:bCs/>
                <w:color w:val="000000"/>
                <w:kern w:val="0"/>
                <w:sz w:val="28"/>
                <w:szCs w:val="28"/>
              </w:rPr>
              <w:t>二级指标</w:t>
            </w:r>
          </w:p>
        </w:tc>
        <w:tc>
          <w:tcPr>
            <w:tcW w:w="11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 w:hAnsi="仿宋" w:eastAsia="仿宋" w:cs="仿宋"/>
                <w:b/>
                <w:bCs/>
                <w:color w:val="000000"/>
                <w:sz w:val="28"/>
                <w:szCs w:val="28"/>
              </w:rPr>
            </w:pPr>
            <w:r>
              <w:rPr>
                <w:rFonts w:hint="eastAsia" w:ascii="仿宋" w:hAnsi="仿宋" w:eastAsia="仿宋" w:cs="仿宋"/>
                <w:b/>
                <w:bCs/>
                <w:color w:val="000000"/>
                <w:kern w:val="0"/>
                <w:sz w:val="28"/>
                <w:szCs w:val="28"/>
              </w:rPr>
              <w:t>三级指标</w:t>
            </w:r>
          </w:p>
        </w:tc>
        <w:tc>
          <w:tcPr>
            <w:tcW w:w="56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 w:hAnsi="仿宋" w:eastAsia="仿宋" w:cs="仿宋"/>
                <w:b/>
                <w:bCs/>
                <w:color w:val="000000"/>
                <w:sz w:val="28"/>
                <w:szCs w:val="28"/>
              </w:rPr>
            </w:pPr>
            <w:r>
              <w:rPr>
                <w:rFonts w:hint="eastAsia" w:ascii="仿宋" w:hAnsi="仿宋" w:eastAsia="仿宋" w:cs="仿宋"/>
                <w:b/>
                <w:bCs/>
                <w:color w:val="000000"/>
                <w:kern w:val="0"/>
                <w:sz w:val="28"/>
                <w:szCs w:val="28"/>
              </w:rPr>
              <w:t>评分规则</w:t>
            </w:r>
          </w:p>
        </w:tc>
      </w:tr>
      <w:tr>
        <w:tblPrEx>
          <w:tblCellMar>
            <w:top w:w="0" w:type="dxa"/>
            <w:left w:w="108" w:type="dxa"/>
            <w:bottom w:w="0" w:type="dxa"/>
            <w:right w:w="108" w:type="dxa"/>
          </w:tblCellMar>
        </w:tblPrEx>
        <w:trPr>
          <w:trHeight w:val="1050"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一、立项必要性</w:t>
            </w:r>
            <w:r>
              <w:rPr>
                <w:rFonts w:hint="eastAsia" w:ascii="仿宋" w:hAnsi="仿宋" w:eastAsia="仿宋" w:cs="仿宋"/>
                <w:color w:val="000000"/>
                <w:kern w:val="0"/>
                <w:sz w:val="24"/>
              </w:rPr>
              <w:br w:type="textWrapping"/>
            </w:r>
            <w:r>
              <w:rPr>
                <w:rFonts w:hint="eastAsia" w:ascii="仿宋" w:hAnsi="仿宋" w:eastAsia="仿宋" w:cs="仿宋"/>
                <w:color w:val="000000"/>
                <w:kern w:val="0"/>
                <w:sz w:val="24"/>
              </w:rPr>
              <w:t>（25分）</w:t>
            </w:r>
          </w:p>
        </w:tc>
        <w:tc>
          <w:tcPr>
            <w:tcW w:w="1365" w:type="dxa"/>
            <w:vMerge w:val="restart"/>
            <w:tcBorders>
              <w:top w:val="single" w:color="000000" w:sz="4" w:space="0"/>
              <w:left w:val="single" w:color="000000" w:sz="4" w:space="0"/>
              <w:bottom w:val="nil"/>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依据充分性</w:t>
            </w:r>
          </w:p>
        </w:tc>
        <w:tc>
          <w:tcPr>
            <w:tcW w:w="1185" w:type="dxa"/>
            <w:tcBorders>
              <w:top w:val="single" w:color="000000" w:sz="4" w:space="0"/>
              <w:left w:val="single" w:color="000000" w:sz="4" w:space="0"/>
              <w:bottom w:val="nil"/>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本级决议</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依据县委、县政府重大决策立项，得5分,主要指县主要领导明确的批示、意见，县委常委会、县政府常务会会议纪要等。</w:t>
            </w:r>
          </w:p>
        </w:tc>
      </w:tr>
      <w:tr>
        <w:tblPrEx>
          <w:tblCellMar>
            <w:top w:w="0" w:type="dxa"/>
            <w:left w:w="108" w:type="dxa"/>
            <w:bottom w:w="0" w:type="dxa"/>
            <w:right w:w="108" w:type="dxa"/>
          </w:tblCellMar>
        </w:tblPrEx>
        <w:trPr>
          <w:trHeight w:val="780"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上级规划</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依据国家、省发展规划、方针政策或部门分管市领导批示、会议纪要立项，得5分。</w:t>
            </w:r>
          </w:p>
        </w:tc>
      </w:tr>
      <w:tr>
        <w:tblPrEx>
          <w:tblCellMar>
            <w:top w:w="0" w:type="dxa"/>
            <w:left w:w="108" w:type="dxa"/>
            <w:bottom w:w="0" w:type="dxa"/>
            <w:right w:w="108" w:type="dxa"/>
          </w:tblCellMar>
        </w:tblPrEx>
        <w:trPr>
          <w:trHeight w:val="73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部门规划</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依据县级部门职能及中长期发展规划、部门年度工作计划或项目规划立项，得3分。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立项合理性</w:t>
            </w:r>
          </w:p>
        </w:tc>
        <w:tc>
          <w:tcPr>
            <w:tcW w:w="118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实施紧迫</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项目必须实施，预算资金由财政安排，得5分。</w:t>
            </w:r>
          </w:p>
        </w:tc>
      </w:tr>
      <w:tr>
        <w:tblPrEx>
          <w:tblCellMar>
            <w:top w:w="0" w:type="dxa"/>
            <w:left w:w="108" w:type="dxa"/>
            <w:bottom w:w="0" w:type="dxa"/>
            <w:right w:w="108" w:type="dxa"/>
          </w:tblCellMar>
        </w:tblPrEx>
        <w:trPr>
          <w:trHeight w:val="67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存在分年度安排情况，得2分。无紧迫性，不得分。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事权合理</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属于县级财政事权范围，得2分，反之不得分。</w:t>
            </w:r>
          </w:p>
        </w:tc>
      </w:tr>
      <w:tr>
        <w:tblPrEx>
          <w:tblCellMar>
            <w:top w:w="0" w:type="dxa"/>
            <w:left w:w="108" w:type="dxa"/>
            <w:bottom w:w="0" w:type="dxa"/>
            <w:right w:w="108" w:type="dxa"/>
          </w:tblCellMar>
        </w:tblPrEx>
        <w:trPr>
          <w:trHeight w:val="76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项目相关</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相同或相近领域无用途相似的预算安排，得3分；反之不得分。</w:t>
            </w:r>
          </w:p>
        </w:tc>
      </w:tr>
      <w:tr>
        <w:tblPrEx>
          <w:tblCellMar>
            <w:top w:w="0" w:type="dxa"/>
            <w:left w:w="108" w:type="dxa"/>
            <w:bottom w:w="0" w:type="dxa"/>
            <w:right w:w="108" w:type="dxa"/>
          </w:tblCellMar>
        </w:tblPrEx>
        <w:trPr>
          <w:trHeight w:val="585"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二、实施可行性</w:t>
            </w:r>
            <w:r>
              <w:rPr>
                <w:rFonts w:hint="eastAsia" w:ascii="仿宋" w:hAnsi="仿宋" w:eastAsia="仿宋" w:cs="仿宋"/>
                <w:color w:val="000000"/>
                <w:kern w:val="0"/>
                <w:sz w:val="24"/>
              </w:rPr>
              <w:br w:type="textWrapping"/>
            </w:r>
            <w:r>
              <w:rPr>
                <w:rFonts w:hint="eastAsia" w:ascii="仿宋" w:hAnsi="仿宋" w:eastAsia="仿宋" w:cs="仿宋"/>
                <w:color w:val="000000"/>
                <w:kern w:val="0"/>
                <w:sz w:val="24"/>
              </w:rPr>
              <w:t>（25分）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实施可能性</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制度健全</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具备明确的管理制度，得5分；没有不得分。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方案可行</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具备可行的实施方案，得10分；没有不得分。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路径最优</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具备最优的实施路径，得8分；反之不得分。</w:t>
            </w:r>
          </w:p>
        </w:tc>
      </w:tr>
      <w:tr>
        <w:tblPrEx>
          <w:tblCellMar>
            <w:top w:w="0" w:type="dxa"/>
            <w:left w:w="108" w:type="dxa"/>
            <w:bottom w:w="0" w:type="dxa"/>
            <w:right w:w="108" w:type="dxa"/>
          </w:tblCellMar>
        </w:tblPrEx>
        <w:trPr>
          <w:trHeight w:val="70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风险可控性</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风险可控</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具备风险防控方案或风险评估报告，得2分；没有不得分。</w:t>
            </w:r>
          </w:p>
        </w:tc>
      </w:tr>
      <w:tr>
        <w:tblPrEx>
          <w:tblCellMar>
            <w:top w:w="0" w:type="dxa"/>
            <w:left w:w="108" w:type="dxa"/>
            <w:bottom w:w="0" w:type="dxa"/>
            <w:right w:w="108" w:type="dxa"/>
          </w:tblCellMar>
        </w:tblPrEx>
        <w:trPr>
          <w:trHeight w:val="750"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三、绩效目标合理性</w:t>
            </w:r>
            <w:r>
              <w:rPr>
                <w:rFonts w:hint="eastAsia" w:ascii="仿宋" w:hAnsi="仿宋" w:eastAsia="仿宋" w:cs="仿宋"/>
                <w:color w:val="000000"/>
                <w:kern w:val="0"/>
                <w:sz w:val="24"/>
              </w:rPr>
              <w:br w:type="textWrapping"/>
            </w:r>
            <w:r>
              <w:rPr>
                <w:rFonts w:hint="eastAsia" w:ascii="仿宋" w:hAnsi="仿宋" w:eastAsia="仿宋" w:cs="仿宋"/>
                <w:color w:val="000000"/>
                <w:kern w:val="0"/>
                <w:sz w:val="24"/>
              </w:rPr>
              <w:t>（20分）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目标设置</w:t>
            </w: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指向精准</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能精准反映预算支出的产出和效果，得5分； 没有不得分。</w:t>
            </w:r>
          </w:p>
        </w:tc>
      </w:tr>
      <w:tr>
        <w:tblPrEx>
          <w:tblCellMar>
            <w:top w:w="0" w:type="dxa"/>
            <w:left w:w="108" w:type="dxa"/>
            <w:bottom w:w="0" w:type="dxa"/>
            <w:right w:w="108" w:type="dxa"/>
          </w:tblCellMar>
        </w:tblPrEx>
        <w:trPr>
          <w:trHeight w:val="780"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客观公正</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目标符合客观实际，一定时期内能够实现，得5分；反之不得分。</w:t>
            </w:r>
          </w:p>
        </w:tc>
      </w:tr>
      <w:tr>
        <w:tblPrEx>
          <w:tblCellMar>
            <w:top w:w="0" w:type="dxa"/>
            <w:left w:w="108" w:type="dxa"/>
            <w:bottom w:w="0" w:type="dxa"/>
            <w:right w:w="108" w:type="dxa"/>
          </w:tblCellMar>
        </w:tblPrEx>
        <w:trPr>
          <w:trHeight w:val="70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便于衡量</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绩效目标指标细化、量化，得5分；反之不得分。</w:t>
            </w:r>
          </w:p>
        </w:tc>
      </w:tr>
      <w:tr>
        <w:tblPrEx>
          <w:tblCellMar>
            <w:top w:w="0" w:type="dxa"/>
            <w:left w:w="108" w:type="dxa"/>
            <w:bottom w:w="0" w:type="dxa"/>
            <w:right w:w="108" w:type="dxa"/>
          </w:tblCellMar>
        </w:tblPrEx>
        <w:trPr>
          <w:trHeight w:val="750"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数量适当</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绩效指标数量不少于6条，得5分；每缺少1条，扣1分。</w:t>
            </w:r>
          </w:p>
        </w:tc>
      </w:tr>
      <w:tr>
        <w:tblPrEx>
          <w:tblCellMar>
            <w:top w:w="0" w:type="dxa"/>
            <w:left w:w="108" w:type="dxa"/>
            <w:bottom w:w="0" w:type="dxa"/>
            <w:right w:w="108" w:type="dxa"/>
          </w:tblCellMar>
        </w:tblPrEx>
        <w:trPr>
          <w:trHeight w:val="840"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四、投入经济性</w:t>
            </w:r>
            <w:r>
              <w:rPr>
                <w:rFonts w:hint="eastAsia" w:ascii="仿宋" w:hAnsi="仿宋" w:eastAsia="仿宋" w:cs="仿宋"/>
                <w:color w:val="000000"/>
                <w:kern w:val="0"/>
                <w:sz w:val="24"/>
              </w:rPr>
              <w:br w:type="textWrapping"/>
            </w:r>
            <w:r>
              <w:rPr>
                <w:rFonts w:hint="eastAsia" w:ascii="仿宋" w:hAnsi="仿宋" w:eastAsia="仿宋" w:cs="仿宋"/>
                <w:color w:val="000000"/>
                <w:kern w:val="0"/>
                <w:sz w:val="24"/>
              </w:rPr>
              <w:t>（10分）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资金测算</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依据充分</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财政投入测算依据充分，得4分；测算依据每存在1条不充分的，扣1分，扣完为止。</w:t>
            </w:r>
          </w:p>
        </w:tc>
      </w:tr>
      <w:tr>
        <w:tblPrEx>
          <w:tblCellMar>
            <w:top w:w="0" w:type="dxa"/>
            <w:left w:w="108" w:type="dxa"/>
            <w:bottom w:w="0" w:type="dxa"/>
            <w:right w:w="108" w:type="dxa"/>
          </w:tblCellMar>
        </w:tblPrEx>
        <w:trPr>
          <w:trHeight w:val="73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标准合理</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测算标准合理，得3分；每存在1条标准偏高的，扣1分，扣完为止。</w:t>
            </w:r>
          </w:p>
        </w:tc>
      </w:tr>
      <w:tr>
        <w:tblPrEx>
          <w:tblCellMar>
            <w:top w:w="0" w:type="dxa"/>
            <w:left w:w="108" w:type="dxa"/>
            <w:bottom w:w="0" w:type="dxa"/>
            <w:right w:w="108" w:type="dxa"/>
          </w:tblCellMar>
        </w:tblPrEx>
        <w:trPr>
          <w:trHeight w:val="67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资金效益</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成本与效益匹配</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投入成本与预期效益匹配，得3分；反之不得分。</w:t>
            </w:r>
          </w:p>
        </w:tc>
      </w:tr>
      <w:tr>
        <w:tblPrEx>
          <w:tblCellMar>
            <w:top w:w="0" w:type="dxa"/>
            <w:left w:w="108" w:type="dxa"/>
            <w:bottom w:w="0" w:type="dxa"/>
            <w:right w:w="108" w:type="dxa"/>
          </w:tblCellMar>
        </w:tblPrEx>
        <w:trPr>
          <w:trHeight w:val="735"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五、筹资合规性</w:t>
            </w:r>
            <w:r>
              <w:rPr>
                <w:rFonts w:hint="eastAsia" w:ascii="仿宋" w:hAnsi="仿宋" w:eastAsia="仿宋" w:cs="仿宋"/>
                <w:color w:val="000000"/>
                <w:kern w:val="0"/>
                <w:sz w:val="24"/>
              </w:rPr>
              <w:br w:type="textWrapping"/>
            </w:r>
            <w:r>
              <w:rPr>
                <w:rFonts w:hint="eastAsia" w:ascii="仿宋" w:hAnsi="仿宋" w:eastAsia="仿宋" w:cs="仿宋"/>
                <w:color w:val="000000"/>
                <w:kern w:val="0"/>
                <w:sz w:val="24"/>
              </w:rPr>
              <w:t>（10分）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资金来源</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渠道明确</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明确财政资金、自有收入或其他资金安排，得5分；未明确不得分。</w:t>
            </w:r>
          </w:p>
        </w:tc>
      </w:tr>
      <w:tr>
        <w:tblPrEx>
          <w:tblCellMar>
            <w:top w:w="0" w:type="dxa"/>
            <w:left w:w="108" w:type="dxa"/>
            <w:bottom w:w="0" w:type="dxa"/>
            <w:right w:w="108" w:type="dxa"/>
          </w:tblCellMar>
        </w:tblPrEx>
        <w:trPr>
          <w:trHeight w:val="73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合法合规</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资金来源符合国家法律、法规，得5分，反之不得分。</w:t>
            </w:r>
          </w:p>
        </w:tc>
      </w:tr>
      <w:tr>
        <w:tblPrEx>
          <w:tblCellMar>
            <w:top w:w="0" w:type="dxa"/>
            <w:left w:w="108" w:type="dxa"/>
            <w:bottom w:w="0" w:type="dxa"/>
            <w:right w:w="108" w:type="dxa"/>
          </w:tblCellMar>
        </w:tblPrEx>
        <w:trPr>
          <w:trHeight w:val="765" w:hRule="atLeast"/>
        </w:trPr>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六、可持续性（10分）</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财力支持</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财政承受能力</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实施期内县级财力能够承受，得10分；反之不得分。</w:t>
            </w:r>
          </w:p>
        </w:tc>
      </w:tr>
    </w:tbl>
    <w:p/>
    <w:p/>
    <w:p/>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Arial Unicode MS"/>
    <w:panose1 w:val="03000509000000000000"/>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Arial Unicode MS">
    <w:panose1 w:val="020B0604020202020204"/>
    <w:charset w:val="86"/>
    <w:family w:val="auto"/>
    <w:pitch w:val="default"/>
    <w:sig w:usb0="FFFFFFFF" w:usb1="E9FFFFFF" w:usb2="0000003F" w:usb3="00000000" w:csb0="603F01FF" w:csb1="FFFF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BC7E6B"/>
    <w:multiLevelType w:val="singleLevel"/>
    <w:tmpl w:val="0ABC7E6B"/>
    <w:lvl w:ilvl="0" w:tentative="0">
      <w:start w:val="6"/>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8"/>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MxMWJjNTgzZmY5MWQ2Zjc2NTFkZTk0MGI4ZmZjNTkifQ=="/>
  </w:docVars>
  <w:rsids>
    <w:rsidRoot w:val="00D72339"/>
    <w:rsid w:val="006D698D"/>
    <w:rsid w:val="007B014A"/>
    <w:rsid w:val="008D0681"/>
    <w:rsid w:val="00D72339"/>
    <w:rsid w:val="0B320241"/>
    <w:rsid w:val="0FD13331"/>
    <w:rsid w:val="44787793"/>
    <w:rsid w:val="4595474B"/>
    <w:rsid w:val="49D67DF9"/>
    <w:rsid w:val="51D879E2"/>
    <w:rsid w:val="63AF0C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Pages>
  <Words>806</Words>
  <Characters>816</Characters>
  <Lines>1</Lines>
  <Paragraphs>1</Paragraphs>
  <TotalTime>0</TotalTime>
  <ScaleCrop>false</ScaleCrop>
  <LinksUpToDate>false</LinksUpToDate>
  <CharactersWithSpaces>826</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Administrator</cp:lastModifiedBy>
  <cp:lastPrinted>2022-07-11T08:06:00Z</cp:lastPrinted>
  <dcterms:modified xsi:type="dcterms:W3CDTF">2024-04-18T02:25:53Z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4B062AB56C994BA7A245E1B8420788E0_13</vt:lpwstr>
  </property>
</Properties>
</file>