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玉田县唐自头镇人民政府</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rPr>
        <w:t>乡村振兴、人居环境整治、脱贫攻坚等项目支出绩效评价报告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（一）项目概况。乡村振兴、人居环境整治、脱贫攻坚等项目是为我镇设立的专项补助经费，主要用于保障乡村振兴、人居环境整治、脱贫攻坚等工作顺利开展。</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（二）项目绩效目标。总体绩效目标是确保我镇乡村振兴、人居环境整治、脱贫攻坚等工作顺利展开，有足够的人员等进行政策落实工作。阶段性目标是按照季节及政策环境的变化能够分阶段开展工作。</w:t>
      </w:r>
    </w:p>
    <w:p>
      <w:pPr>
        <w:numPr>
          <w:ilvl w:val="0"/>
          <w:numId w:val="0"/>
        </w:numPr>
        <w:spacing w:line="600" w:lineRule="exact"/>
        <w:rPr>
          <w:rFonts w:hint="eastAsia" w:ascii="仿宋_GB2312" w:eastAsia="仿宋_GB2312"/>
          <w:sz w:val="32"/>
          <w:szCs w:val="32"/>
        </w:rPr>
      </w:pPr>
    </w:p>
    <w:p>
      <w:pPr>
        <w:spacing w:line="600" w:lineRule="exact"/>
        <w:rPr>
          <w:rFonts w:eastAsia="黑体"/>
          <w:sz w:val="32"/>
          <w:szCs w:val="32"/>
        </w:rPr>
      </w:pPr>
      <w:r>
        <w:rPr>
          <w:rFonts w:hint="eastAsia" w:eastAsia="黑体"/>
          <w:sz w:val="32"/>
          <w:szCs w:val="32"/>
        </w:rPr>
        <w:t>二、绩效评价工作开展情况</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目的、对象和范围。绩效评价是为了能够让工作顺利的开展，有考核性质，提高工作人员工作积极性和主动性。绩效评价对象和范围主要是项目主要针对的方面的工作改善情况及日常工作的进行情况，以及工作人员的工作状态</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（三）绩效评价原则、评价指标体系（附表说明）、评价方法、评价标准等。</w:t>
      </w:r>
    </w:p>
    <w:p>
      <w:pPr>
        <w:spacing w:line="600" w:lineRule="exact"/>
        <w:ind w:firstLine="640" w:firstLineChars="200"/>
        <w:rPr>
          <w:rFonts w:hint="eastAsia" w:eastAsia="黑体"/>
          <w:sz w:val="32"/>
          <w:szCs w:val="32"/>
        </w:rPr>
      </w:pPr>
      <w:r>
        <w:rPr>
          <w:rFonts w:hint="eastAsia" w:eastAsia="黑体"/>
          <w:sz w:val="32"/>
          <w:szCs w:val="32"/>
        </w:rPr>
        <w:t>三、综合评价情况及评价结论</w:t>
      </w:r>
    </w:p>
    <w:p>
      <w:pPr>
        <w:spacing w:line="600" w:lineRule="exact"/>
        <w:ind w:firstLine="640" w:firstLineChars="200"/>
        <w:rPr>
          <w:rFonts w:eastAsia="黑体"/>
          <w:sz w:val="32"/>
          <w:szCs w:val="32"/>
        </w:rPr>
      </w:pPr>
      <w:r>
        <w:rPr>
          <w:rFonts w:hint="eastAsia" w:ascii="仿宋_GB2312" w:eastAsia="仿宋_GB2312"/>
          <w:sz w:val="32"/>
          <w:szCs w:val="32"/>
        </w:rPr>
        <w:t>项目有实施的必要性，且本项目是经县委县政府批准的日常性项目，为机关运转必要项目。</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（一）项目决策情况。项目由县委县政府统一安排实施，已经过论证可行性。</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（二）项目过程情况。乡村振兴、人居环境整治、脱贫攻坚等项目为项目，贯穿全年。</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（三）项目产出情况。确保了镇区乡村振兴、人居环境整治、脱贫攻坚等及机关运行秩序。</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（四）项目效益情况。确保了镇区乡村振兴、人居环境整治、脱贫攻坚等</w:t>
      </w:r>
      <w:bookmarkStart w:id="0" w:name="_GoBack"/>
      <w:bookmarkEnd w:id="0"/>
      <w:r>
        <w:rPr>
          <w:rFonts w:hint="eastAsia" w:ascii="仿宋_GB2312" w:eastAsia="仿宋_GB2312"/>
          <w:sz w:val="32"/>
          <w:szCs w:val="32"/>
        </w:rPr>
        <w:t>及机关运行秩序。</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经过项目论证及实施确保了项目运行平稳，认识到了事前项目论证的必要性。</w:t>
      </w:r>
    </w:p>
    <w:p>
      <w:pPr>
        <w:numPr>
          <w:ilvl w:val="0"/>
          <w:numId w:val="1"/>
        </w:numPr>
        <w:spacing w:line="600" w:lineRule="exact"/>
        <w:ind w:firstLine="640" w:firstLineChars="200"/>
        <w:rPr>
          <w:rFonts w:hint="eastAsia" w:eastAsia="黑体"/>
          <w:sz w:val="32"/>
          <w:szCs w:val="32"/>
        </w:rPr>
      </w:pPr>
      <w:r>
        <w:rPr>
          <w:rFonts w:hint="eastAsia" w:eastAsia="黑体"/>
          <w:sz w:val="32"/>
          <w:szCs w:val="32"/>
        </w:rPr>
        <w:t>有关建议</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项目运行及维护过程要注重实施的有效性，随时进行项目监督。保证项目落到实处。</w:t>
      </w:r>
    </w:p>
    <w:p>
      <w:pPr>
        <w:spacing w:line="600" w:lineRule="exact"/>
        <w:ind w:firstLine="640" w:firstLineChars="200"/>
        <w:rPr>
          <w:rFonts w:eastAsia="黑体"/>
          <w:sz w:val="32"/>
          <w:szCs w:val="32"/>
        </w:rPr>
      </w:pPr>
      <w:r>
        <w:rPr>
          <w:rFonts w:hint="eastAsia" w:eastAsia="黑体"/>
          <w:sz w:val="32"/>
          <w:szCs w:val="32"/>
        </w:rPr>
        <w:t>七、其他需要说明的问题</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无</w:t>
      </w:r>
    </w:p>
    <w:p>
      <w:pPr>
        <w:spacing w:line="600" w:lineRule="exact"/>
        <w:ind w:firstLine="640" w:firstLineChars="200"/>
        <w:outlineLvl w:val="0"/>
        <w:rPr>
          <w:rFonts w:ascii="仿宋_GB2312" w:eastAsia="仿宋_GB2312"/>
          <w:sz w:val="32"/>
          <w:szCs w:val="32"/>
        </w:rPr>
      </w:pPr>
    </w:p>
    <w:p>
      <w:pPr>
        <w:spacing w:line="600" w:lineRule="exact"/>
        <w:ind w:firstLine="640" w:firstLineChars="200"/>
        <w:outlineLvl w:val="0"/>
        <w:rPr>
          <w:rFonts w:ascii="仿宋_GB2312" w:eastAsia="仿宋_GB2312"/>
          <w:sz w:val="32"/>
          <w:szCs w:val="32"/>
        </w:rPr>
      </w:pPr>
    </w:p>
    <w:p>
      <w:pPr>
        <w:spacing w:line="600" w:lineRule="exact"/>
        <w:ind w:firstLine="640" w:firstLineChars="200"/>
        <w:outlineLvl w:val="0"/>
        <w:rPr>
          <w:rFonts w:ascii="仿宋_GB2312" w:eastAsia="仿宋_GB2312"/>
          <w:sz w:val="32"/>
          <w:szCs w:val="32"/>
        </w:rPr>
      </w:pP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附表一：</w:t>
      </w:r>
    </w:p>
    <w:tbl>
      <w:tblPr>
        <w:tblStyle w:val="4"/>
        <w:tblW w:w="9510" w:type="dxa"/>
        <w:tblInd w:w="93" w:type="dxa"/>
        <w:tblLayout w:type="autofit"/>
        <w:tblCellMar>
          <w:top w:w="0" w:type="dxa"/>
          <w:left w:w="108" w:type="dxa"/>
          <w:bottom w:w="0" w:type="dxa"/>
          <w:right w:w="108" w:type="dxa"/>
        </w:tblCellMar>
      </w:tblPr>
      <w:tblGrid>
        <w:gridCol w:w="1350"/>
        <w:gridCol w:w="1365"/>
        <w:gridCol w:w="1185"/>
        <w:gridCol w:w="5610"/>
      </w:tblGrid>
      <w:tr>
        <w:tblPrEx>
          <w:tblCellMar>
            <w:top w:w="0" w:type="dxa"/>
            <w:left w:w="108" w:type="dxa"/>
            <w:bottom w:w="0" w:type="dxa"/>
            <w:right w:w="108" w:type="dxa"/>
          </w:tblCellMar>
        </w:tblPrEx>
        <w:trPr>
          <w:trHeight w:val="555" w:hRule="atLeast"/>
        </w:trPr>
        <w:tc>
          <w:tcPr>
            <w:tcW w:w="13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一级指标</w:t>
            </w: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二级指标</w:t>
            </w:r>
          </w:p>
        </w:tc>
        <w:tc>
          <w:tcPr>
            <w:tcW w:w="11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三级指标</w:t>
            </w:r>
          </w:p>
        </w:tc>
        <w:tc>
          <w:tcPr>
            <w:tcW w:w="5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评分规则</w:t>
            </w:r>
          </w:p>
        </w:tc>
      </w:tr>
      <w:tr>
        <w:tblPrEx>
          <w:tblCellMar>
            <w:top w:w="0" w:type="dxa"/>
            <w:left w:w="108" w:type="dxa"/>
            <w:bottom w:w="0" w:type="dxa"/>
            <w:right w:w="108" w:type="dxa"/>
          </w:tblCellMar>
        </w:tblPrEx>
        <w:trPr>
          <w:trHeight w:val="105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一、立项必要性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（25分）</w:t>
            </w:r>
          </w:p>
        </w:tc>
        <w:tc>
          <w:tcPr>
            <w:tcW w:w="1365" w:type="dxa"/>
            <w:vMerge w:val="restart"/>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依据充分性</w:t>
            </w:r>
          </w:p>
        </w:tc>
        <w:tc>
          <w:tcPr>
            <w:tcW w:w="1185" w:type="dxa"/>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本级决议</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依据县委、县政府重大决策立项，得5分,主要指县主要领导明确的批示、意见，县委常委会、县政府常务会会议纪要等。</w:t>
            </w:r>
          </w:p>
        </w:tc>
      </w:tr>
      <w:tr>
        <w:tblPrEx>
          <w:tblCellMar>
            <w:top w:w="0" w:type="dxa"/>
            <w:left w:w="108" w:type="dxa"/>
            <w:bottom w:w="0" w:type="dxa"/>
            <w:right w:w="108" w:type="dxa"/>
          </w:tblCellMar>
        </w:tblPrEx>
        <w:trPr>
          <w:trHeight w:val="78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上级规划</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依据国家、省发展规划、方针政策或部门分管市领导批示、会议纪要立项，得5分。</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部门规划</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依据县级部门职能及中长期发展规划、部门年度工作计划或项目规划立项，得3分。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立项合理性</w:t>
            </w:r>
          </w:p>
        </w:tc>
        <w:tc>
          <w:tcPr>
            <w:tcW w:w="11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实施紧迫</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项目必须实施，预算资金由财政安排，得5分。</w:t>
            </w:r>
          </w:p>
        </w:tc>
      </w:tr>
      <w:tr>
        <w:tblPrEx>
          <w:tblCellMar>
            <w:top w:w="0" w:type="dxa"/>
            <w:left w:w="108" w:type="dxa"/>
            <w:bottom w:w="0" w:type="dxa"/>
            <w:right w:w="108" w:type="dxa"/>
          </w:tblCellMar>
        </w:tblPrEx>
        <w:trPr>
          <w:trHeight w:val="67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存在分年度安排情况，得2分。无紧迫性，不得分。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事权合理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属于县级财政事权范围，得2分，反之不得分。</w:t>
            </w:r>
          </w:p>
        </w:tc>
      </w:tr>
      <w:tr>
        <w:tblPrEx>
          <w:tblCellMar>
            <w:top w:w="0" w:type="dxa"/>
            <w:left w:w="108" w:type="dxa"/>
            <w:bottom w:w="0" w:type="dxa"/>
            <w:right w:w="108" w:type="dxa"/>
          </w:tblCellMar>
        </w:tblPrEx>
        <w:trPr>
          <w:trHeight w:val="76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项目相关</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相同或相近领域无用途相似的预算安排，得3分；反之不得分。</w:t>
            </w:r>
          </w:p>
        </w:tc>
      </w:tr>
      <w:tr>
        <w:tblPrEx>
          <w:tblCellMar>
            <w:top w:w="0" w:type="dxa"/>
            <w:left w:w="108" w:type="dxa"/>
            <w:bottom w:w="0" w:type="dxa"/>
            <w:right w:w="108" w:type="dxa"/>
          </w:tblCellMar>
        </w:tblPrEx>
        <w:trPr>
          <w:trHeight w:val="585"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二、实施可行性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（25分）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实施可能性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制度健全</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具备明确的管理制度，得5分；没有不得分。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方案可行</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具备可行的实施方案，得10分；没有不得分。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路径最优</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具备最优的实施路径，得8分；反之不得分。</w:t>
            </w:r>
          </w:p>
        </w:tc>
      </w:tr>
      <w:tr>
        <w:tblPrEx>
          <w:tblCellMar>
            <w:top w:w="0" w:type="dxa"/>
            <w:left w:w="108" w:type="dxa"/>
            <w:bottom w:w="0" w:type="dxa"/>
            <w:right w:w="108" w:type="dxa"/>
          </w:tblCellMar>
        </w:tblPrEx>
        <w:trPr>
          <w:trHeight w:val="70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风险可控性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风险可控</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具备风险防控方案或风险评估报告，得2分；没有不得分。</w:t>
            </w:r>
          </w:p>
        </w:tc>
      </w:tr>
      <w:tr>
        <w:tblPrEx>
          <w:tblCellMar>
            <w:top w:w="0" w:type="dxa"/>
            <w:left w:w="108" w:type="dxa"/>
            <w:bottom w:w="0" w:type="dxa"/>
            <w:right w:w="108" w:type="dxa"/>
          </w:tblCellMar>
        </w:tblPrEx>
        <w:trPr>
          <w:trHeight w:val="75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三、绩效目标合理性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（20分）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目标设置</w:t>
            </w: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指向精准</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能精准反映预算支出的产出和效果，得5分； 没有不得分。</w:t>
            </w:r>
          </w:p>
        </w:tc>
      </w:tr>
      <w:tr>
        <w:tblPrEx>
          <w:tblCellMar>
            <w:top w:w="0" w:type="dxa"/>
            <w:left w:w="108" w:type="dxa"/>
            <w:bottom w:w="0" w:type="dxa"/>
            <w:right w:w="108" w:type="dxa"/>
          </w:tblCellMar>
        </w:tblPrEx>
        <w:trPr>
          <w:trHeight w:val="78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客观公正</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目标符合客观实际，一定时期内能够实现，得5分；反之不得分。</w:t>
            </w:r>
          </w:p>
        </w:tc>
      </w:tr>
      <w:tr>
        <w:tblPrEx>
          <w:tblCellMar>
            <w:top w:w="0" w:type="dxa"/>
            <w:left w:w="108" w:type="dxa"/>
            <w:bottom w:w="0" w:type="dxa"/>
            <w:right w:w="108" w:type="dxa"/>
          </w:tblCellMar>
        </w:tblPrEx>
        <w:trPr>
          <w:trHeight w:val="70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便于衡量</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绩效目标指标细化、量化，得5分；反之不得分。</w:t>
            </w:r>
          </w:p>
        </w:tc>
      </w:tr>
      <w:tr>
        <w:tblPrEx>
          <w:tblCellMar>
            <w:top w:w="0" w:type="dxa"/>
            <w:left w:w="108" w:type="dxa"/>
            <w:bottom w:w="0" w:type="dxa"/>
            <w:right w:w="108" w:type="dxa"/>
          </w:tblCellMar>
        </w:tblPrEx>
        <w:trPr>
          <w:trHeight w:val="75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数量适当</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绩效指标数量不少于6条，得5分；每缺少1条，扣1分。</w:t>
            </w:r>
          </w:p>
        </w:tc>
      </w:tr>
      <w:tr>
        <w:tblPrEx>
          <w:tblCellMar>
            <w:top w:w="0" w:type="dxa"/>
            <w:left w:w="108" w:type="dxa"/>
            <w:bottom w:w="0" w:type="dxa"/>
            <w:right w:w="108" w:type="dxa"/>
          </w:tblCellMar>
        </w:tblPrEx>
        <w:trPr>
          <w:trHeight w:val="84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四、投入经济性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（10分）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资金测算</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依据充分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财政投入测算依据充分，得4分；测算依据每存在1条不充分的，扣1分，扣完为止。</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标准合理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测算标准合理，得3分；每存在1条标准偏高的，扣1分，扣完为止。</w:t>
            </w:r>
          </w:p>
        </w:tc>
      </w:tr>
      <w:tr>
        <w:tblPrEx>
          <w:tblCellMar>
            <w:top w:w="0" w:type="dxa"/>
            <w:left w:w="108" w:type="dxa"/>
            <w:bottom w:w="0" w:type="dxa"/>
            <w:right w:w="108" w:type="dxa"/>
          </w:tblCellMar>
        </w:tblPrEx>
        <w:trPr>
          <w:trHeight w:val="67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资金效益</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成本与效益匹配</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投入成本与预期效益匹配，得3分；反之不得分。</w:t>
            </w:r>
          </w:p>
        </w:tc>
      </w:tr>
      <w:tr>
        <w:tblPrEx>
          <w:tblCellMar>
            <w:top w:w="0" w:type="dxa"/>
            <w:left w:w="108" w:type="dxa"/>
            <w:bottom w:w="0" w:type="dxa"/>
            <w:right w:w="108" w:type="dxa"/>
          </w:tblCellMar>
        </w:tblPrEx>
        <w:trPr>
          <w:trHeight w:val="735"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五、筹资合规性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（10分）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资金来源</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渠道明确</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明确财政资金、自有收入或其他资金安排，得5分；未明确不得分。</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合法合规</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资金来源符合国家法律、法规，得5分，反之不得分。</w:t>
            </w:r>
          </w:p>
        </w:tc>
      </w:tr>
      <w:tr>
        <w:tblPrEx>
          <w:tblCellMar>
            <w:top w:w="0" w:type="dxa"/>
            <w:left w:w="108" w:type="dxa"/>
            <w:bottom w:w="0" w:type="dxa"/>
            <w:right w:w="108" w:type="dxa"/>
          </w:tblCellMar>
        </w:tblPrEx>
        <w:trPr>
          <w:trHeight w:val="765" w:hRule="atLeast"/>
        </w:trPr>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六、可持续性（10分）</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财力支持</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财政承受能力</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实施期内县级财力能够承受，得10分；反之不得分。</w:t>
            </w:r>
          </w:p>
        </w:tc>
      </w:tr>
    </w:tbl>
    <w:p/>
    <w:p/>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Arial Unicode MS"/>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BC7E6B"/>
    <w:multiLevelType w:val="singleLevel"/>
    <w:tmpl w:val="0ABC7E6B"/>
    <w:lvl w:ilvl="0" w:tentative="0">
      <w:start w:val="6"/>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8"/>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xMWJjNTgzZmY5MWQ2Zjc2NTFkZTk0MGI4ZmZjNTkifQ=="/>
  </w:docVars>
  <w:rsids>
    <w:rsidRoot w:val="00D72339"/>
    <w:rsid w:val="006D698D"/>
    <w:rsid w:val="007B014A"/>
    <w:rsid w:val="008D0681"/>
    <w:rsid w:val="00D72339"/>
    <w:rsid w:val="0B320241"/>
    <w:rsid w:val="0FD13331"/>
    <w:rsid w:val="3DCF7CBA"/>
    <w:rsid w:val="3EEE6156"/>
    <w:rsid w:val="44787793"/>
    <w:rsid w:val="4595474B"/>
    <w:rsid w:val="49D67DF9"/>
    <w:rsid w:val="4F521333"/>
    <w:rsid w:val="51D879E2"/>
    <w:rsid w:val="528E1A0D"/>
    <w:rsid w:val="63AF0C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806</Words>
  <Characters>816</Characters>
  <Lines>1</Lines>
  <Paragraphs>1</Paragraphs>
  <TotalTime>17</TotalTime>
  <ScaleCrop>false</ScaleCrop>
  <LinksUpToDate>false</LinksUpToDate>
  <CharactersWithSpaces>826</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2022-07-11T08:06:00Z</cp:lastPrinted>
  <dcterms:modified xsi:type="dcterms:W3CDTF">2024-04-18T07:10:03Z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4B062AB56C994BA7A245E1B8420788E0_13</vt:lpwstr>
  </property>
</Properties>
</file>