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村综合服务站</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此项目主要是为了用于村综合服务站等业务经</w:t>
      </w:r>
      <w:r>
        <w:rPr>
          <w:rFonts w:hint="eastAsia" w:ascii="仿宋" w:hAnsi="仿宋" w:eastAsia="仿宋" w:cs="仿宋"/>
          <w:sz w:val="32"/>
          <w:szCs w:val="32"/>
          <w:lang w:eastAsia="zh-CN"/>
        </w:rPr>
        <w:t>费，预算</w:t>
      </w:r>
      <w:r>
        <w:rPr>
          <w:rFonts w:hint="eastAsia" w:ascii="仿宋" w:hAnsi="仿宋" w:eastAsia="仿宋" w:cs="仿宋"/>
          <w:sz w:val="32"/>
          <w:szCs w:val="32"/>
          <w:lang w:val="en-US" w:eastAsia="zh-CN"/>
        </w:rPr>
        <w:t>12.5万，支出0万。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bookmarkStart w:id="0" w:name="_GoBack"/>
      <w:bookmarkEnd w:id="0"/>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3"/>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检测成本</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覆盖所有县城及以上城市</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按时完成全部项目工作</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参与政府决策活动次数</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参与决策咨询活动次数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改善周边生态环境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2"/>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064D8"/>
    <w:rsid w:val="7E206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2024-04-24T01:16:00Z</dcterms:created>
  <dc:creator>Administrator</dc:creator>
  <cp:lastModifiedBy>Administrator</cp:lastModifiedBy>
  <dcterms:modified xsi:type="dcterms:W3CDTF">2024-04-24T01:17:18Z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6EB6CAACEDF14CA0B970D8F8758E1DB1</vt:lpwstr>
  </property>
</Properties>
</file>