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冀财农【2022】144号潮落窝王木、柳沽和后场街道亮化项目支出绩效评价报告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w:t>
      </w:r>
      <w:bookmarkStart w:id="0" w:name="_GoBack"/>
      <w:bookmarkEnd w:id="0"/>
      <w:r>
        <w:rPr>
          <w:rFonts w:hint="eastAsia" w:ascii="仿宋_GB2312" w:eastAsia="仿宋_GB2312"/>
          <w:sz w:val="32"/>
          <w:szCs w:val="32"/>
        </w:rPr>
        <w:t>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此项目主要是用于潮落窝王木、柳沽和后场街道安装路灯</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45万，支出45万，已全部支出。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冀财农【2022】144号潮落窝王木、柳沽和后场街道亮化项目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408E2"/>
    <w:rsid w:val="008D0681"/>
    <w:rsid w:val="00D72339"/>
    <w:rsid w:val="03D04041"/>
    <w:rsid w:val="0EC4467B"/>
    <w:rsid w:val="0FD13331"/>
    <w:rsid w:val="12627735"/>
    <w:rsid w:val="169C5A2D"/>
    <w:rsid w:val="18D3489C"/>
    <w:rsid w:val="1A1A4DC4"/>
    <w:rsid w:val="1DB63296"/>
    <w:rsid w:val="21290DB5"/>
    <w:rsid w:val="2D5C3D54"/>
    <w:rsid w:val="3BED4CA9"/>
    <w:rsid w:val="3F0650EB"/>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2024-04-19T02:49:16Z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