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乡镇人大工作站经费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此项目主要是用于人大工作站的建设</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2万，支出0万，未支出。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乡镇人大工作站经费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70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w:t>
      </w:r>
      <w:bookmarkStart w:id="0" w:name="_GoBack"/>
      <w:bookmarkEnd w:id="0"/>
      <w:r>
        <w:rPr>
          <w:rFonts w:hint="eastAsia" w:ascii="仿宋_GB2312" w:eastAsia="仿宋_GB2312"/>
          <w:sz w:val="32"/>
          <w:szCs w:val="32"/>
        </w:rPr>
        <w:t>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480849"/>
    <w:rsid w:val="006D698D"/>
    <w:rsid w:val="007B014A"/>
    <w:rsid w:val="008D0681"/>
    <w:rsid w:val="00D72339"/>
    <w:rsid w:val="0FD13331"/>
    <w:rsid w:val="12627735"/>
    <w:rsid w:val="169C5A2D"/>
    <w:rsid w:val="1A1A4DC4"/>
    <w:rsid w:val="21290DB5"/>
    <w:rsid w:val="2D5C3D54"/>
    <w:rsid w:val="44787793"/>
    <w:rsid w:val="44A21368"/>
    <w:rsid w:val="45195407"/>
    <w:rsid w:val="4595474B"/>
    <w:rsid w:val="46F94590"/>
    <w:rsid w:val="482B173C"/>
    <w:rsid w:val="49D67DF9"/>
    <w:rsid w:val="4E8B034E"/>
    <w:rsid w:val="4FD37C24"/>
    <w:rsid w:val="51D879E2"/>
    <w:rsid w:val="53937A90"/>
    <w:rsid w:val="587F29A4"/>
    <w:rsid w:val="59EB0E8E"/>
    <w:rsid w:val="63AF0C61"/>
    <w:rsid w:val="65056532"/>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1</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2024-04-19T02:29:37Z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