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村党组织活动经费-村党员培训等</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此项目主要是用于村党组织开展培训的经费</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11.25万，支出0万，未支出。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09"/>
        <w:gridCol w:w="749"/>
        <w:gridCol w:w="914"/>
        <w:gridCol w:w="684"/>
        <w:gridCol w:w="666"/>
        <w:gridCol w:w="572"/>
        <w:gridCol w:w="584"/>
        <w:gridCol w:w="584"/>
        <w:gridCol w:w="430"/>
        <w:gridCol w:w="388"/>
        <w:gridCol w:w="405"/>
        <w:gridCol w:w="413"/>
        <w:gridCol w:w="648"/>
        <w:gridCol w:w="7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5000" w:type="pct"/>
            <w:gridSpan w:val="14"/>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5000" w:type="pct"/>
            <w:gridSpan w:val="14"/>
            <w:tcBorders>
              <w:top w:val="nil"/>
              <w:left w:val="nil"/>
              <w:bottom w:val="single" w:color="000000" w:sz="8"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4136" w:type="pct"/>
            <w:gridSpan w:val="1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村党组织活动经费-村党员培训等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1974" w:type="pct"/>
            <w:gridSpan w:val="5"/>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玉田县潮落窝乡人民政府</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1562" w:type="pct"/>
            <w:gridSpan w:val="5"/>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863"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11.25</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11.25</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11.25</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11.25</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344" w:type="pct"/>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344" w:type="pct"/>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2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2417" w:type="pct"/>
            <w:gridSpan w:val="6"/>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2162" w:type="pct"/>
            <w:gridSpan w:val="7"/>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20"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2417" w:type="pct"/>
            <w:gridSpan w:val="6"/>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按照规定完成年度各项支出</w:t>
            </w:r>
          </w:p>
        </w:tc>
        <w:tc>
          <w:tcPr>
            <w:tcW w:w="2162" w:type="pct"/>
            <w:gridSpan w:val="7"/>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420" w:type="pct"/>
            <w:vMerge w:val="restart"/>
            <w:tcBorders>
              <w:top w:val="single" w:color="000000" w:sz="8" w:space="0"/>
              <w:left w:val="single" w:color="000000" w:sz="8" w:space="0"/>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442" w:type="pct"/>
            <w:vMerge w:val="restart"/>
            <w:tcBorders>
              <w:top w:val="single" w:color="000000" w:sz="8" w:space="0"/>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540" w:type="pct"/>
            <w:vMerge w:val="restar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1088" w:type="pct"/>
            <w:gridSpan w:val="3"/>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345"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w:t>
            </w:r>
          </w:p>
        </w:tc>
        <w:tc>
          <w:tcPr>
            <w:tcW w:w="344"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w:t>
            </w:r>
          </w:p>
        </w:tc>
        <w:tc>
          <w:tcPr>
            <w:tcW w:w="487"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487"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842"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nil"/>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vMerge w:val="continue"/>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1088" w:type="pct"/>
            <w:gridSpan w:val="3"/>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345"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指标值</w:t>
            </w:r>
          </w:p>
        </w:tc>
        <w:tc>
          <w:tcPr>
            <w:tcW w:w="344"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完成值</w:t>
            </w:r>
          </w:p>
        </w:tc>
        <w:tc>
          <w:tcPr>
            <w:tcW w:w="487"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87"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842"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restart"/>
            <w:tcBorders>
              <w:top w:val="single" w:color="000000" w:sz="8" w:space="0"/>
              <w:left w:val="single" w:color="000000" w:sz="8" w:space="0"/>
              <w:bottom w:val="single" w:color="000000" w:sz="4"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完成预算指标率</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完成项目任务合格率</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年度项目完成情况</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当年项目支出</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发挥有限资金的最大效益</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促进社会稳定</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对生态环境的效益</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影响可持续性</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3182" w:type="pct"/>
            <w:gridSpan w:val="8"/>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bl>
    <w:p>
      <w:pPr>
        <w:bidi w:val="0"/>
        <w:rPr>
          <w:rFonts w:hint="eastAsia"/>
          <w:lang w:val="en-US" w:eastAsia="zh-CN"/>
        </w:rPr>
      </w:pPr>
      <w:bookmarkStart w:id="0" w:name="_GoBack"/>
      <w:bookmarkEnd w:id="0"/>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70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6D698D"/>
    <w:rsid w:val="007B014A"/>
    <w:rsid w:val="008D0681"/>
    <w:rsid w:val="00D72339"/>
    <w:rsid w:val="0FD13331"/>
    <w:rsid w:val="12627735"/>
    <w:rsid w:val="169C5A2D"/>
    <w:rsid w:val="1A1A4DC4"/>
    <w:rsid w:val="21290DB5"/>
    <w:rsid w:val="2D5C3D54"/>
    <w:rsid w:val="44787793"/>
    <w:rsid w:val="44A21368"/>
    <w:rsid w:val="4595474B"/>
    <w:rsid w:val="47BB167A"/>
    <w:rsid w:val="49D67DF9"/>
    <w:rsid w:val="51D879E2"/>
    <w:rsid w:val="59EB0E8E"/>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autoRedefine/>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2024-04-19T03:07:28Z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