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u w:val="none"/>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u w:val="none"/>
          <w:lang w:val="en-US" w:eastAsia="zh-CN"/>
        </w:rPr>
        <w:t>陈家铺镇人民政府</w:t>
      </w:r>
    </w:p>
    <w:p>
      <w:pPr>
        <w:widowControl/>
        <w:spacing w:line="600" w:lineRule="exact"/>
        <w:jc w:val="center"/>
        <w:rPr>
          <w:rFonts w:hint="eastAsia"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lang w:val="en-US" w:eastAsia="zh-CN"/>
        </w:rPr>
        <w:t>村综合服务站项目</w:t>
      </w:r>
      <w:r>
        <w:rPr>
          <w:rFonts w:hint="eastAsia" w:ascii="方正小标宋_GBK" w:hAnsi="宋体" w:eastAsia="方正小标宋_GBK" w:cs="宋体"/>
          <w:bCs/>
          <w:kern w:val="0"/>
          <w:sz w:val="44"/>
          <w:szCs w:val="44"/>
        </w:rPr>
        <w:t>支出</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rPr>
        <w:t>绩效评价报告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部门2023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（一）项目概况。根据县委、县政府</w:t>
      </w:r>
      <w:r>
        <w:rPr>
          <w:rFonts w:hint="eastAsia" w:ascii="仿宋_GB2312" w:eastAsia="仿宋_GB2312"/>
          <w:sz w:val="32"/>
          <w:szCs w:val="32"/>
          <w:lang w:eastAsia="zh-CN"/>
        </w:rPr>
        <w:t>2023</w:t>
      </w:r>
      <w:r>
        <w:rPr>
          <w:rFonts w:hint="eastAsia" w:ascii="仿宋_GB2312" w:eastAsia="仿宋_GB2312"/>
          <w:sz w:val="32"/>
          <w:szCs w:val="32"/>
        </w:rPr>
        <w:t>年度计划目标，</w:t>
      </w:r>
      <w:r>
        <w:rPr>
          <w:rFonts w:hint="eastAsia" w:ascii="仿宋_GB2312" w:eastAsia="仿宋_GB2312"/>
          <w:sz w:val="32"/>
          <w:szCs w:val="32"/>
          <w:lang w:eastAsia="zh-CN"/>
        </w:rPr>
        <w:t>陈家铺镇</w:t>
      </w:r>
      <w:r>
        <w:rPr>
          <w:rFonts w:hint="eastAsia" w:ascii="仿宋_GB2312" w:eastAsia="仿宋_GB2312"/>
          <w:sz w:val="32"/>
          <w:szCs w:val="32"/>
        </w:rPr>
        <w:t>人民政府</w:t>
      </w:r>
      <w:r>
        <w:rPr>
          <w:rFonts w:hint="eastAsia" w:ascii="仿宋_GB2312" w:eastAsia="仿宋_GB2312"/>
          <w:sz w:val="32"/>
          <w:szCs w:val="32"/>
          <w:lang w:eastAsia="zh-CN"/>
        </w:rPr>
        <w:t>2023</w:t>
      </w:r>
      <w:r>
        <w:rPr>
          <w:rFonts w:hint="eastAsia" w:ascii="仿宋_GB2312" w:eastAsia="仿宋_GB2312"/>
          <w:sz w:val="32"/>
          <w:szCs w:val="32"/>
        </w:rPr>
        <w:t>年度将继续做好农业、农村、</w:t>
      </w:r>
      <w:r>
        <w:rPr>
          <w:rFonts w:hint="eastAsia" w:ascii="仿宋_GB2312" w:eastAsia="仿宋_GB2312"/>
          <w:sz w:val="32"/>
          <w:szCs w:val="32"/>
          <w:lang w:val="en-US" w:eastAsia="zh-CN"/>
        </w:rPr>
        <w:t>21万，支21</w:t>
      </w:r>
      <w:bookmarkStart w:id="0" w:name="_GoBack"/>
      <w:bookmarkEnd w:id="0"/>
      <w:r>
        <w:rPr>
          <w:rFonts w:hint="eastAsia" w:ascii="仿宋_GB2312" w:eastAsia="仿宋_GB2312"/>
          <w:sz w:val="32"/>
          <w:szCs w:val="32"/>
          <w:lang w:val="en-US" w:eastAsia="zh-CN"/>
        </w:rPr>
        <w:t>万。</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（二）项目绩效目标。</w:t>
      </w:r>
      <w:r>
        <w:rPr>
          <w:rFonts w:hint="eastAsia" w:ascii="仿宋_GB2312" w:eastAsia="仿宋_GB2312"/>
          <w:sz w:val="32"/>
          <w:szCs w:val="32"/>
          <w:lang w:eastAsia="zh-CN"/>
        </w:rPr>
        <w:t>此项目的</w:t>
      </w:r>
      <w:r>
        <w:rPr>
          <w:rFonts w:hint="eastAsia" w:ascii="仿宋_GB2312" w:eastAsia="仿宋_GB2312"/>
          <w:sz w:val="32"/>
          <w:szCs w:val="32"/>
        </w:rPr>
        <w:t>总体目标</w:t>
      </w:r>
      <w:r>
        <w:rPr>
          <w:rFonts w:hint="eastAsia" w:ascii="仿宋_GB2312" w:eastAsia="仿宋_GB2312"/>
          <w:sz w:val="32"/>
          <w:szCs w:val="32"/>
          <w:lang w:eastAsia="zh-CN"/>
        </w:rPr>
        <w:t>为全年执行率</w:t>
      </w:r>
      <w:r>
        <w:rPr>
          <w:rFonts w:hint="eastAsia" w:ascii="仿宋_GB2312" w:eastAsia="仿宋_GB2312"/>
          <w:sz w:val="32"/>
          <w:szCs w:val="32"/>
          <w:lang w:val="en-US" w:eastAsia="zh-CN"/>
        </w:rPr>
        <w:t>100%，</w:t>
      </w:r>
      <w:r>
        <w:rPr>
          <w:rFonts w:hint="eastAsia" w:ascii="仿宋_GB2312" w:eastAsia="仿宋_GB2312"/>
          <w:sz w:val="32"/>
          <w:szCs w:val="32"/>
        </w:rPr>
        <w:t>阶段性目标</w:t>
      </w:r>
      <w:r>
        <w:rPr>
          <w:rFonts w:hint="eastAsia" w:ascii="仿宋_GB2312" w:eastAsia="仿宋_GB2312"/>
          <w:sz w:val="32"/>
          <w:szCs w:val="32"/>
          <w:lang w:eastAsia="zh-CN"/>
        </w:rPr>
        <w:t>为半年执行率</w:t>
      </w:r>
      <w:r>
        <w:rPr>
          <w:rFonts w:hint="eastAsia" w:ascii="仿宋_GB2312" w:eastAsia="仿宋_GB2312"/>
          <w:sz w:val="32"/>
          <w:szCs w:val="32"/>
          <w:lang w:val="en-US" w:eastAsia="zh-CN"/>
        </w:rPr>
        <w:t>50%</w:t>
      </w:r>
      <w:r>
        <w:rPr>
          <w:rFonts w:hint="eastAsia" w:ascii="仿宋_GB2312" w:eastAsia="仿宋_GB2312"/>
          <w:sz w:val="32"/>
          <w:szCs w:val="32"/>
        </w:rPr>
        <w:t>。</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w:t>
      </w:r>
      <w:r>
        <w:rPr>
          <w:rFonts w:hint="eastAsia" w:ascii="仿宋_GB2312" w:eastAsia="仿宋_GB2312"/>
          <w:sz w:val="32"/>
          <w:szCs w:val="32"/>
          <w:lang w:eastAsia="zh-CN"/>
        </w:rPr>
        <w:t>乡</w:t>
      </w:r>
      <w:r>
        <w:rPr>
          <w:rFonts w:hint="eastAsia" w:ascii="仿宋_GB2312" w:eastAsia="仿宋_GB2312"/>
          <w:sz w:val="32"/>
          <w:szCs w:val="32"/>
        </w:rPr>
        <w:t>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的目的是根据年初设定的绩效目标，运用科学合理的绩效评价指标、评价标准和评价方法，对建设项目支出的经济性、效率性和效益性进行客观、公正的评价。绩效评价的对象是纳入县级财政预算管理的建设项目支出资金。绩效评价的范围：一是财政资金使用情况、财务管理状况；二是绩效目标的实现程度，包括是否达到预定产出和效果等。</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（三）采取成立本部门绩效自评工作组的形式，本着客观、公正、公开的原则开展自评工作，所有项目的绩效自评均设计了合理、明晰、可考核的、关键性产出指标和效果指标。自评结果真实可靠。</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评价指标体系：</w:t>
      </w:r>
    </w:p>
    <w:tbl>
      <w:tblPr>
        <w:tblStyle w:val="5"/>
        <w:tblW w:w="8286"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921"/>
        <w:gridCol w:w="1275"/>
        <w:gridCol w:w="1455"/>
        <w:gridCol w:w="2925"/>
        <w:gridCol w:w="171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52" w:hRule="atLeast"/>
        </w:trPr>
        <w:tc>
          <w:tcPr>
            <w:tcW w:w="921"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绩</w:t>
            </w:r>
          </w:p>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效</w:t>
            </w:r>
          </w:p>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指</w:t>
            </w:r>
          </w:p>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标</w:t>
            </w:r>
          </w:p>
        </w:tc>
        <w:tc>
          <w:tcPr>
            <w:tcW w:w="1275" w:type="dxa"/>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一级指标</w:t>
            </w:r>
          </w:p>
        </w:tc>
        <w:tc>
          <w:tcPr>
            <w:tcW w:w="145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二级指标</w:t>
            </w:r>
          </w:p>
        </w:tc>
        <w:tc>
          <w:tcPr>
            <w:tcW w:w="2925" w:type="dxa"/>
            <w:tcBorders>
              <w:top w:val="single" w:color="000000" w:sz="8" w:space="0"/>
              <w:left w:val="single" w:color="000000" w:sz="8" w:space="0"/>
              <w:bottom w:val="single" w:color="000000" w:sz="8"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三级指标</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实际完成值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restart"/>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产出指标</w:t>
            </w:r>
          </w:p>
        </w:tc>
        <w:tc>
          <w:tcPr>
            <w:tcW w:w="1455"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数量指标</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完成预算指标率</w:t>
            </w:r>
          </w:p>
        </w:tc>
        <w:tc>
          <w:tcPr>
            <w:tcW w:w="1710" w:type="dxa"/>
            <w:tcBorders>
              <w:top w:val="single" w:color="auto" w:sz="4"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iCs w:val="0"/>
                <w:color w:val="000000"/>
                <w:sz w:val="24"/>
                <w:szCs w:val="24"/>
                <w:u w:val="none"/>
              </w:rPr>
            </w:pPr>
          </w:p>
        </w:tc>
        <w:tc>
          <w:tcPr>
            <w:tcW w:w="1710" w:type="dxa"/>
            <w:tcBorders>
              <w:top w:val="nil"/>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iCs w:val="0"/>
                <w:color w:val="000000"/>
                <w:sz w:val="24"/>
                <w:szCs w:val="24"/>
                <w:u w:val="none"/>
              </w:rPr>
            </w:pPr>
          </w:p>
        </w:tc>
        <w:tc>
          <w:tcPr>
            <w:tcW w:w="1710" w:type="dxa"/>
            <w:tcBorders>
              <w:top w:val="nil"/>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质量指标</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完成质量指标</w:t>
            </w:r>
          </w:p>
        </w:tc>
        <w:tc>
          <w:tcPr>
            <w:tcW w:w="171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u w:val="none"/>
              </w:rPr>
            </w:pPr>
          </w:p>
        </w:tc>
        <w:tc>
          <w:tcPr>
            <w:tcW w:w="171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iCs w:val="0"/>
                <w:color w:val="000000"/>
                <w:sz w:val="24"/>
                <w:szCs w:val="24"/>
                <w:u w:val="none"/>
              </w:rPr>
            </w:pPr>
          </w:p>
        </w:tc>
        <w:tc>
          <w:tcPr>
            <w:tcW w:w="1710" w:type="dxa"/>
            <w:tcBorders>
              <w:top w:val="nil"/>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时效指标</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年度项目完成情况</w:t>
            </w:r>
          </w:p>
        </w:tc>
        <w:tc>
          <w:tcPr>
            <w:tcW w:w="171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iCs w:val="0"/>
                <w:color w:val="000000"/>
                <w:sz w:val="24"/>
                <w:szCs w:val="24"/>
                <w:u w:val="none"/>
              </w:rPr>
            </w:pPr>
          </w:p>
        </w:tc>
        <w:tc>
          <w:tcPr>
            <w:tcW w:w="1710" w:type="dxa"/>
            <w:tcBorders>
              <w:top w:val="nil"/>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iCs w:val="0"/>
                <w:color w:val="000000"/>
                <w:sz w:val="24"/>
                <w:szCs w:val="24"/>
                <w:u w:val="none"/>
              </w:rPr>
            </w:pPr>
          </w:p>
        </w:tc>
        <w:tc>
          <w:tcPr>
            <w:tcW w:w="1710" w:type="dxa"/>
            <w:tcBorders>
              <w:top w:val="nil"/>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成本指标</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当年项目支出</w:t>
            </w:r>
          </w:p>
        </w:tc>
        <w:tc>
          <w:tcPr>
            <w:tcW w:w="171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iCs w:val="0"/>
                <w:color w:val="000000"/>
                <w:sz w:val="24"/>
                <w:szCs w:val="24"/>
                <w:u w:val="none"/>
              </w:rPr>
            </w:pPr>
          </w:p>
        </w:tc>
        <w:tc>
          <w:tcPr>
            <w:tcW w:w="1710" w:type="dxa"/>
            <w:tcBorders>
              <w:top w:val="nil"/>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iCs w:val="0"/>
                <w:color w:val="000000"/>
                <w:sz w:val="24"/>
                <w:szCs w:val="24"/>
                <w:u w:val="none"/>
              </w:rPr>
            </w:pPr>
          </w:p>
        </w:tc>
        <w:tc>
          <w:tcPr>
            <w:tcW w:w="1710" w:type="dxa"/>
            <w:tcBorders>
              <w:top w:val="nil"/>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restart"/>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效益指标</w:t>
            </w:r>
          </w:p>
        </w:tc>
        <w:tc>
          <w:tcPr>
            <w:tcW w:w="1455" w:type="dxa"/>
            <w:tcBorders>
              <w:top w:val="nil"/>
              <w:left w:val="nil"/>
              <w:bottom w:val="nil"/>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经济效益</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发挥有限资金的最大效益</w:t>
            </w:r>
          </w:p>
        </w:tc>
        <w:tc>
          <w:tcPr>
            <w:tcW w:w="171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tcBorders>
              <w:top w:val="nil"/>
              <w:left w:val="nil"/>
              <w:bottom w:val="nil"/>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指标</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iCs w:val="0"/>
                <w:color w:val="000000"/>
                <w:sz w:val="24"/>
                <w:szCs w:val="24"/>
                <w:u w:val="none"/>
              </w:rPr>
            </w:pPr>
          </w:p>
        </w:tc>
        <w:tc>
          <w:tcPr>
            <w:tcW w:w="1710" w:type="dxa"/>
            <w:tcBorders>
              <w:top w:val="nil"/>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tcBorders>
              <w:top w:val="nil"/>
              <w:left w:val="nil"/>
              <w:bottom w:val="single" w:color="000000" w:sz="8" w:space="0"/>
              <w:right w:val="single" w:color="000000" w:sz="8" w:space="0"/>
            </w:tcBorders>
            <w:shd w:val="clear" w:color="auto" w:fill="auto"/>
            <w:vAlign w:val="center"/>
          </w:tcPr>
          <w:p>
            <w:pPr>
              <w:rPr>
                <w:rFonts w:hint="eastAsia" w:ascii="仿宋_GB2312" w:hAnsi="仿宋_GB2312" w:eastAsia="仿宋_GB2312" w:cs="仿宋_GB2312"/>
                <w:i w:val="0"/>
                <w:iCs w:val="0"/>
                <w:color w:val="000000"/>
                <w:sz w:val="24"/>
                <w:szCs w:val="24"/>
                <w:u w:val="none"/>
              </w:rPr>
            </w:pP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iCs w:val="0"/>
                <w:color w:val="000000"/>
                <w:sz w:val="24"/>
                <w:szCs w:val="24"/>
                <w:u w:val="none"/>
              </w:rPr>
            </w:pPr>
          </w:p>
        </w:tc>
        <w:tc>
          <w:tcPr>
            <w:tcW w:w="1710" w:type="dxa"/>
            <w:tcBorders>
              <w:top w:val="nil"/>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tcBorders>
              <w:top w:val="nil"/>
              <w:left w:val="nil"/>
              <w:bottom w:val="nil"/>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社会效益</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提高优质服务</w:t>
            </w:r>
          </w:p>
        </w:tc>
        <w:tc>
          <w:tcPr>
            <w:tcW w:w="171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tcBorders>
              <w:top w:val="nil"/>
              <w:left w:val="nil"/>
              <w:bottom w:val="nil"/>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指标</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u w:val="none"/>
              </w:rPr>
            </w:pPr>
          </w:p>
        </w:tc>
        <w:tc>
          <w:tcPr>
            <w:tcW w:w="171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tcBorders>
              <w:top w:val="nil"/>
              <w:left w:val="nil"/>
              <w:bottom w:val="single" w:color="000000" w:sz="8" w:space="0"/>
              <w:right w:val="single" w:color="000000" w:sz="8" w:space="0"/>
            </w:tcBorders>
            <w:shd w:val="clear" w:color="auto" w:fill="auto"/>
            <w:vAlign w:val="center"/>
          </w:tcPr>
          <w:p>
            <w:pPr>
              <w:rPr>
                <w:rFonts w:hint="eastAsia" w:ascii="仿宋_GB2312" w:hAnsi="仿宋_GB2312" w:eastAsia="仿宋_GB2312" w:cs="仿宋_GB2312"/>
                <w:i w:val="0"/>
                <w:iCs w:val="0"/>
                <w:color w:val="000000"/>
                <w:sz w:val="24"/>
                <w:szCs w:val="24"/>
                <w:u w:val="none"/>
              </w:rPr>
            </w:pP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iCs w:val="0"/>
                <w:color w:val="000000"/>
                <w:sz w:val="24"/>
                <w:szCs w:val="24"/>
                <w:u w:val="none"/>
              </w:rPr>
            </w:pPr>
          </w:p>
        </w:tc>
        <w:tc>
          <w:tcPr>
            <w:tcW w:w="1710" w:type="dxa"/>
            <w:tcBorders>
              <w:top w:val="nil"/>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tcBorders>
              <w:top w:val="nil"/>
              <w:left w:val="nil"/>
              <w:bottom w:val="nil"/>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生态效益</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促进社会稳定</w:t>
            </w:r>
          </w:p>
        </w:tc>
        <w:tc>
          <w:tcPr>
            <w:tcW w:w="171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tcBorders>
              <w:top w:val="nil"/>
              <w:left w:val="nil"/>
              <w:bottom w:val="nil"/>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指标</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iCs w:val="0"/>
                <w:color w:val="000000"/>
                <w:sz w:val="24"/>
                <w:szCs w:val="24"/>
                <w:u w:val="none"/>
              </w:rPr>
            </w:pPr>
          </w:p>
        </w:tc>
        <w:tc>
          <w:tcPr>
            <w:tcW w:w="1710" w:type="dxa"/>
            <w:tcBorders>
              <w:top w:val="nil"/>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tcBorders>
              <w:top w:val="nil"/>
              <w:left w:val="nil"/>
              <w:bottom w:val="single" w:color="000000" w:sz="8" w:space="0"/>
              <w:right w:val="single" w:color="000000" w:sz="8" w:space="0"/>
            </w:tcBorders>
            <w:shd w:val="clear" w:color="auto" w:fill="auto"/>
            <w:vAlign w:val="center"/>
          </w:tcPr>
          <w:p>
            <w:pPr>
              <w:rPr>
                <w:rFonts w:hint="eastAsia" w:ascii="仿宋_GB2312" w:hAnsi="仿宋_GB2312" w:eastAsia="仿宋_GB2312" w:cs="仿宋_GB2312"/>
                <w:i w:val="0"/>
                <w:iCs w:val="0"/>
                <w:color w:val="000000"/>
                <w:sz w:val="24"/>
                <w:szCs w:val="24"/>
                <w:u w:val="none"/>
              </w:rPr>
            </w:pP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iCs w:val="0"/>
                <w:color w:val="000000"/>
                <w:sz w:val="24"/>
                <w:szCs w:val="24"/>
                <w:u w:val="none"/>
              </w:rPr>
            </w:pPr>
          </w:p>
        </w:tc>
        <w:tc>
          <w:tcPr>
            <w:tcW w:w="1710" w:type="dxa"/>
            <w:tcBorders>
              <w:top w:val="nil"/>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可持续影响指标</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sz w:val="24"/>
                <w:szCs w:val="24"/>
                <w:u w:val="none"/>
                <w:lang w:eastAsia="zh-CN"/>
              </w:rPr>
              <w:t>规划和保障措施</w:t>
            </w:r>
          </w:p>
        </w:tc>
        <w:tc>
          <w:tcPr>
            <w:tcW w:w="1710" w:type="dxa"/>
            <w:tcBorders>
              <w:top w:val="nil"/>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iCs w:val="0"/>
                <w:color w:val="000000"/>
                <w:sz w:val="24"/>
                <w:szCs w:val="24"/>
                <w:u w:val="none"/>
              </w:rPr>
            </w:pPr>
          </w:p>
        </w:tc>
        <w:tc>
          <w:tcPr>
            <w:tcW w:w="1710" w:type="dxa"/>
            <w:tcBorders>
              <w:top w:val="nil"/>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iCs w:val="0"/>
                <w:color w:val="000000"/>
                <w:sz w:val="24"/>
                <w:szCs w:val="24"/>
                <w:u w:val="none"/>
              </w:rPr>
            </w:pPr>
          </w:p>
        </w:tc>
        <w:tc>
          <w:tcPr>
            <w:tcW w:w="1710" w:type="dxa"/>
            <w:tcBorders>
              <w:top w:val="nil"/>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nil"/>
              <w:left w:val="nil"/>
              <w:bottom w:val="nil"/>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满意度</w:t>
            </w:r>
          </w:p>
        </w:tc>
        <w:tc>
          <w:tcPr>
            <w:tcW w:w="1455"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服务对象满意度指标</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服务对象满意度</w:t>
            </w:r>
          </w:p>
        </w:tc>
        <w:tc>
          <w:tcPr>
            <w:tcW w:w="171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nil"/>
              <w:left w:val="nil"/>
              <w:bottom w:val="nil"/>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指标</w:t>
            </w:r>
          </w:p>
        </w:tc>
        <w:tc>
          <w:tcPr>
            <w:tcW w:w="145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iCs w:val="0"/>
                <w:color w:val="000000"/>
                <w:sz w:val="24"/>
                <w:szCs w:val="24"/>
                <w:u w:val="none"/>
              </w:rPr>
            </w:pPr>
          </w:p>
        </w:tc>
        <w:tc>
          <w:tcPr>
            <w:tcW w:w="1710" w:type="dxa"/>
            <w:tcBorders>
              <w:top w:val="nil"/>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nil"/>
              <w:left w:val="nil"/>
              <w:bottom w:val="single" w:color="000000" w:sz="8" w:space="0"/>
              <w:right w:val="single" w:color="000000" w:sz="8" w:space="0"/>
            </w:tcBorders>
            <w:shd w:val="clear" w:color="auto" w:fill="auto"/>
            <w:vAlign w:val="center"/>
          </w:tcPr>
          <w:p>
            <w:pPr>
              <w:rPr>
                <w:rFonts w:hint="eastAsia" w:ascii="仿宋_GB2312" w:hAnsi="仿宋_GB2312" w:eastAsia="仿宋_GB2312" w:cs="仿宋_GB2312"/>
                <w:i w:val="0"/>
                <w:iCs w:val="0"/>
                <w:color w:val="000000"/>
                <w:sz w:val="24"/>
                <w:szCs w:val="24"/>
                <w:u w:val="none"/>
              </w:rPr>
            </w:pPr>
          </w:p>
        </w:tc>
        <w:tc>
          <w:tcPr>
            <w:tcW w:w="145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iCs w:val="0"/>
                <w:color w:val="000000"/>
                <w:sz w:val="24"/>
                <w:szCs w:val="24"/>
                <w:u w:val="none"/>
              </w:rPr>
            </w:pPr>
          </w:p>
        </w:tc>
        <w:tc>
          <w:tcPr>
            <w:tcW w:w="1710" w:type="dxa"/>
            <w:tcBorders>
              <w:top w:val="nil"/>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r>
    </w:tbl>
    <w:p>
      <w:pPr>
        <w:spacing w:line="600" w:lineRule="exact"/>
        <w:rPr>
          <w:rFonts w:hint="eastAsia" w:ascii="仿宋_GB2312" w:eastAsia="仿宋_GB2312"/>
          <w:sz w:val="10"/>
          <w:szCs w:val="10"/>
        </w:rPr>
      </w:pPr>
    </w:p>
    <w:p>
      <w:pPr>
        <w:numPr>
          <w:ilvl w:val="0"/>
          <w:numId w:val="1"/>
        </w:numPr>
        <w:spacing w:line="600" w:lineRule="exact"/>
        <w:ind w:firstLine="640" w:firstLineChars="200"/>
        <w:rPr>
          <w:rFonts w:hint="eastAsia" w:eastAsia="黑体"/>
          <w:sz w:val="32"/>
          <w:szCs w:val="32"/>
        </w:rPr>
      </w:pPr>
      <w:r>
        <w:rPr>
          <w:rFonts w:hint="eastAsia" w:eastAsia="黑体"/>
          <w:sz w:val="32"/>
          <w:szCs w:val="32"/>
        </w:rPr>
        <w:t>综合评价情况及评价结论</w:t>
      </w:r>
    </w:p>
    <w:p>
      <w:pPr>
        <w:numPr>
          <w:ilvl w:val="0"/>
          <w:numId w:val="0"/>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绩效评价</w:t>
      </w:r>
      <w:r>
        <w:rPr>
          <w:rFonts w:hint="eastAsia" w:ascii="仿宋_GB2312" w:eastAsia="仿宋_GB2312"/>
          <w:sz w:val="32"/>
          <w:szCs w:val="32"/>
          <w:lang w:eastAsia="zh-CN"/>
        </w:rPr>
        <w:t>小</w:t>
      </w:r>
      <w:r>
        <w:rPr>
          <w:rFonts w:hint="eastAsia" w:ascii="仿宋_GB2312" w:eastAsia="仿宋_GB2312"/>
          <w:sz w:val="32"/>
          <w:szCs w:val="32"/>
        </w:rPr>
        <w:t>组从产出指标、效益指标、</w:t>
      </w:r>
      <w:r>
        <w:rPr>
          <w:rFonts w:hint="eastAsia" w:ascii="仿宋_GB2312" w:eastAsia="仿宋_GB2312"/>
          <w:sz w:val="32"/>
          <w:szCs w:val="32"/>
          <w:lang w:eastAsia="zh-CN"/>
        </w:rPr>
        <w:t>满意度指标</w:t>
      </w:r>
      <w:r>
        <w:rPr>
          <w:rFonts w:hint="eastAsia" w:ascii="仿宋_GB2312" w:eastAsia="仿宋_GB2312"/>
          <w:sz w:val="32"/>
          <w:szCs w:val="32"/>
        </w:rPr>
        <w:t>等方面进行评价，综合评分为</w:t>
      </w:r>
      <w:r>
        <w:rPr>
          <w:rFonts w:hint="eastAsia" w:ascii="仿宋_GB2312" w:eastAsia="仿宋_GB2312"/>
          <w:sz w:val="32"/>
          <w:szCs w:val="32"/>
          <w:lang w:val="en-US" w:eastAsia="zh-CN"/>
        </w:rPr>
        <w:t>98</w:t>
      </w:r>
      <w:r>
        <w:rPr>
          <w:rFonts w:hint="eastAsia" w:ascii="仿宋_GB2312" w:eastAsia="仿宋_GB2312"/>
          <w:sz w:val="32"/>
          <w:szCs w:val="32"/>
        </w:rPr>
        <w:t>分。</w:t>
      </w:r>
    </w:p>
    <w:p>
      <w:pPr>
        <w:spacing w:line="600" w:lineRule="exact"/>
        <w:ind w:firstLine="640" w:firstLineChars="200"/>
        <w:rPr>
          <w:rFonts w:eastAsia="黑体"/>
          <w:sz w:val="32"/>
          <w:szCs w:val="32"/>
        </w:rPr>
      </w:pPr>
      <w:r>
        <w:rPr>
          <w:rFonts w:hint="eastAsia" w:eastAsia="黑体"/>
          <w:sz w:val="32"/>
          <w:szCs w:val="32"/>
        </w:rPr>
        <w:t>四、绩效评价指标分析</w:t>
      </w:r>
    </w:p>
    <w:p>
      <w:pPr>
        <w:pStyle w:val="4"/>
        <w:keepNext w:val="0"/>
        <w:keepLines w:val="0"/>
        <w:widowControl w:val="0"/>
        <w:suppressLineNumbers w:val="0"/>
        <w:spacing w:before="0" w:beforeAutospacing="0" w:after="0" w:afterAutospacing="0" w:line="627" w:lineRule="exact"/>
        <w:ind w:left="0" w:right="0" w:rightChars="0" w:firstLine="640" w:firstLineChars="200"/>
        <w:jc w:val="both"/>
      </w:pPr>
      <w:r>
        <w:rPr>
          <w:rFonts w:hint="eastAsia" w:ascii="仿宋_GB2312" w:eastAsia="仿宋_GB2312"/>
          <w:sz w:val="32"/>
          <w:szCs w:val="32"/>
        </w:rPr>
        <w:t>（一）项目决策情况。</w:t>
      </w:r>
      <w:r>
        <w:rPr>
          <w:rFonts w:hint="eastAsia" w:ascii="仿宋_GB2312" w:eastAsia="仿宋_GB2312"/>
          <w:sz w:val="32"/>
          <w:szCs w:val="32"/>
          <w:lang w:eastAsia="zh-CN"/>
        </w:rPr>
        <w:t>次</w:t>
      </w:r>
      <w:r>
        <w:rPr>
          <w:rFonts w:hint="eastAsia" w:ascii="仿宋_GB2312" w:eastAsia="仿宋_GB2312"/>
          <w:sz w:val="32"/>
          <w:szCs w:val="32"/>
        </w:rPr>
        <w:t>项目立项符合国家法律法规、国民经济发展规划和相关政策；项目程序到位，手续齐全，符合申报条件；项目属于公共财政支持范围。</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（二）项目过程情况。该项目绩效目标明确，分配合理，资金到位、预算执行</w:t>
      </w:r>
      <w:r>
        <w:rPr>
          <w:rFonts w:hint="eastAsia" w:ascii="仿宋_GB2312" w:eastAsia="仿宋_GB2312"/>
          <w:sz w:val="32"/>
          <w:szCs w:val="32"/>
          <w:lang w:val="en-US" w:eastAsia="zh-CN"/>
        </w:rPr>
        <w:t>100</w:t>
      </w:r>
      <w:r>
        <w:rPr>
          <w:rFonts w:hint="eastAsia" w:ascii="仿宋_GB2312" w:eastAsia="仿宋_GB2312"/>
          <w:sz w:val="32"/>
          <w:szCs w:val="32"/>
        </w:rPr>
        <w:t>%。项目组织实施制度建全，执行有效。</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全部用于</w:t>
      </w:r>
      <w:r>
        <w:rPr>
          <w:rFonts w:hint="eastAsia" w:ascii="仿宋_GB2312" w:eastAsia="仿宋_GB2312"/>
          <w:sz w:val="32"/>
          <w:szCs w:val="32"/>
          <w:lang w:val="en-US" w:eastAsia="zh-CN"/>
        </w:rPr>
        <w:t>党的二十大维稳经费项目支出</w:t>
      </w:r>
      <w:r>
        <w:rPr>
          <w:rFonts w:hint="eastAsia" w:ascii="仿宋_GB2312" w:eastAsia="仿宋_GB2312"/>
          <w:sz w:val="32"/>
          <w:szCs w:val="32"/>
          <w:lang w:eastAsia="zh-CN"/>
        </w:rPr>
        <w:t>。</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w:t>
      </w:r>
      <w:r>
        <w:rPr>
          <w:rFonts w:hint="eastAsia" w:ascii="仿宋_GB2312" w:eastAsia="仿宋_GB2312"/>
          <w:sz w:val="32"/>
          <w:szCs w:val="32"/>
          <w:lang w:eastAsia="zh-CN"/>
        </w:rPr>
        <w:t>提升了经济效益、社会效益和服务对象满意度。</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绩效评价方法釆用定量与定性评价相结合的比较法, 总分由各项指标得分汇总形成。</w:t>
      </w:r>
    </w:p>
    <w:p>
      <w:pPr>
        <w:numPr>
          <w:ilvl w:val="0"/>
          <w:numId w:val="2"/>
        </w:numPr>
        <w:spacing w:line="600" w:lineRule="exact"/>
        <w:ind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阶段性的实施预算部门绩效自评工作，将有利于提高部门预算执行率。</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lang w:eastAsia="zh-CN"/>
        </w:rPr>
        <w:t>无</w:t>
      </w:r>
      <w:r>
        <w:rPr>
          <w:rFonts w:hint="eastAsia" w:ascii="仿宋_GB2312" w:eastAsia="仿宋_GB2312"/>
          <w:sz w:val="32"/>
          <w:szCs w:val="32"/>
          <w:lang w:val="en-US" w:eastAsia="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7D5667E"/>
    <w:multiLevelType w:val="singleLevel"/>
    <w:tmpl w:val="97D5667E"/>
    <w:lvl w:ilvl="0" w:tentative="0">
      <w:start w:val="6"/>
      <w:numFmt w:val="chineseCounting"/>
      <w:suff w:val="nothing"/>
      <w:lvlText w:val="%1、"/>
      <w:lvlJc w:val="left"/>
      <w:rPr>
        <w:rFonts w:hint="eastAsia"/>
      </w:rPr>
    </w:lvl>
  </w:abstractNum>
  <w:abstractNum w:abstractNumId="1">
    <w:nsid w:val="2D5BE6BD"/>
    <w:multiLevelType w:val="singleLevel"/>
    <w:tmpl w:val="2D5BE6BD"/>
    <w:lvl w:ilvl="0" w:tentative="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RmYmViZDQ5NjkyN2IzOWU0ZGY0NGRjNmVhN2E1MmUifQ=="/>
    <w:docVar w:name="KSO_WPS_MARK_KEY" w:val="d0a35399-3665-470f-8041-d8a79a230fd0"/>
  </w:docVars>
  <w:rsids>
    <w:rsidRoot w:val="00D72339"/>
    <w:rsid w:val="006D698D"/>
    <w:rsid w:val="007B014A"/>
    <w:rsid w:val="008D0681"/>
    <w:rsid w:val="00D72339"/>
    <w:rsid w:val="08075794"/>
    <w:rsid w:val="0A071D93"/>
    <w:rsid w:val="0C8C248F"/>
    <w:rsid w:val="0FD13331"/>
    <w:rsid w:val="129D0ECC"/>
    <w:rsid w:val="188B1BF2"/>
    <w:rsid w:val="18D92BB5"/>
    <w:rsid w:val="1A8E6478"/>
    <w:rsid w:val="1C1167EF"/>
    <w:rsid w:val="210A5328"/>
    <w:rsid w:val="268D49F4"/>
    <w:rsid w:val="27A37C13"/>
    <w:rsid w:val="280F7084"/>
    <w:rsid w:val="292A40FA"/>
    <w:rsid w:val="2A2B3901"/>
    <w:rsid w:val="2C575000"/>
    <w:rsid w:val="306C7E5F"/>
    <w:rsid w:val="36A61E8C"/>
    <w:rsid w:val="36CD0BB6"/>
    <w:rsid w:val="39017FC7"/>
    <w:rsid w:val="3C687742"/>
    <w:rsid w:val="3DD753CA"/>
    <w:rsid w:val="438329A6"/>
    <w:rsid w:val="4595474B"/>
    <w:rsid w:val="49D67DF9"/>
    <w:rsid w:val="49DA0428"/>
    <w:rsid w:val="4A8306AC"/>
    <w:rsid w:val="51D879E2"/>
    <w:rsid w:val="56D24AC3"/>
    <w:rsid w:val="5751734C"/>
    <w:rsid w:val="5A987CC7"/>
    <w:rsid w:val="61B4221B"/>
    <w:rsid w:val="63AF0C61"/>
    <w:rsid w:val="666B5BF5"/>
    <w:rsid w:val="723A368C"/>
    <w:rsid w:val="72A250B8"/>
    <w:rsid w:val="73692504"/>
    <w:rsid w:val="7457546E"/>
    <w:rsid w:val="74F953BE"/>
    <w:rsid w:val="7A6D6F2E"/>
    <w:rsid w:val="7DD20683"/>
    <w:rsid w:val="7E9F4D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0"/>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9"/>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character" w:styleId="7">
    <w:name w:val="FollowedHyperlink"/>
    <w:basedOn w:val="6"/>
    <w:semiHidden/>
    <w:unhideWhenUsed/>
    <w:qFormat/>
    <w:uiPriority w:val="99"/>
    <w:rPr>
      <w:color w:val="000000"/>
      <w:u w:val="none"/>
    </w:rPr>
  </w:style>
  <w:style w:type="character" w:styleId="8">
    <w:name w:val="Hyperlink"/>
    <w:basedOn w:val="6"/>
    <w:semiHidden/>
    <w:unhideWhenUsed/>
    <w:qFormat/>
    <w:uiPriority w:val="99"/>
    <w:rPr>
      <w:color w:val="000000"/>
      <w:u w:val="none"/>
    </w:rPr>
  </w:style>
  <w:style w:type="character" w:customStyle="1" w:styleId="9">
    <w:name w:val="页眉 Char"/>
    <w:basedOn w:val="6"/>
    <w:link w:val="3"/>
    <w:qFormat/>
    <w:uiPriority w:val="99"/>
    <w:rPr>
      <w:sz w:val="18"/>
      <w:szCs w:val="18"/>
    </w:rPr>
  </w:style>
  <w:style w:type="character" w:customStyle="1" w:styleId="10">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4</Pages>
  <Words>1378</Words>
  <Characters>1427</Characters>
  <Lines>1</Lines>
  <Paragraphs>1</Paragraphs>
  <TotalTime>10</TotalTime>
  <ScaleCrop>false</ScaleCrop>
  <LinksUpToDate>false</LinksUpToDate>
  <CharactersWithSpaces>1430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2022-07-11T08:06:00Z</cp:lastPrinted>
  <dcterms:modified xsi:type="dcterms:W3CDTF">2024-04-19T02:51:29Z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1D56313C62434035880D048CB580C735</vt:lpwstr>
  </property>
</Properties>
</file>