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val="en-US" w:eastAsia="zh-CN"/>
        </w:rPr>
        <w:t>玉田县郭家桥乡人民政府</w:t>
      </w:r>
    </w:p>
    <w:p>
      <w:pPr>
        <w:widowControl/>
        <w:spacing w:line="600" w:lineRule="exact"/>
        <w:jc w:val="center"/>
        <w:rPr>
          <w:rFonts w:ascii="方正小标宋_GBK" w:hAnsi="宋体" w:eastAsia="方正小标宋_GBK" w:cs="宋体"/>
          <w:bCs/>
          <w:kern w:val="0"/>
          <w:sz w:val="44"/>
          <w:szCs w:val="44"/>
        </w:rPr>
      </w:pPr>
      <w:bookmarkStart w:id="0" w:name="_GoBack"/>
      <w:bookmarkEnd w:id="0"/>
      <w:r>
        <w:rPr>
          <w:rFonts w:hint="eastAsia" w:ascii="方正小标宋_GBK" w:hAnsi="宋体" w:eastAsia="方正小标宋_GBK" w:cs="宋体"/>
          <w:bCs/>
          <w:kern w:val="0"/>
          <w:sz w:val="44"/>
          <w:szCs w:val="44"/>
          <w:u w:val="none"/>
          <w:lang w:val="en-US" w:eastAsia="zh-CN"/>
        </w:rPr>
        <w:t>村公共卫生防疫</w:t>
      </w:r>
      <w:r>
        <w:rPr>
          <w:rFonts w:hint="eastAsia" w:ascii="方正小标宋_GBK" w:hAnsi="宋体" w:eastAsia="方正小标宋_GBK" w:cs="宋体"/>
          <w:bCs/>
          <w:kern w:val="0"/>
          <w:sz w:val="44"/>
          <w:szCs w:val="44"/>
        </w:rPr>
        <w:t>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（一）项目概况。</w:t>
      </w:r>
      <w:r>
        <w:rPr>
          <w:rFonts w:hint="eastAsia" w:ascii="仿宋_GB2312" w:eastAsia="仿宋_GB2312"/>
          <w:sz w:val="32"/>
          <w:szCs w:val="32"/>
          <w:lang w:eastAsia="zh-CN"/>
        </w:rPr>
        <w:t>村公共卫生防疫</w:t>
      </w:r>
      <w:r>
        <w:rPr>
          <w:rFonts w:hint="eastAsia" w:ascii="仿宋_GB2312" w:eastAsia="仿宋_GB2312"/>
          <w:sz w:val="32"/>
          <w:szCs w:val="32"/>
        </w:rPr>
        <w:t>项目是为</w:t>
      </w:r>
      <w:r>
        <w:rPr>
          <w:rFonts w:hint="eastAsia" w:ascii="仿宋_GB2312" w:eastAsia="仿宋_GB2312"/>
          <w:sz w:val="32"/>
          <w:szCs w:val="32"/>
          <w:lang w:eastAsia="zh-CN"/>
        </w:rPr>
        <w:t>村公共卫生防疫</w:t>
      </w:r>
      <w:r>
        <w:rPr>
          <w:rFonts w:hint="eastAsia" w:ascii="仿宋_GB2312" w:eastAsia="仿宋_GB2312"/>
          <w:sz w:val="32"/>
          <w:szCs w:val="32"/>
        </w:rPr>
        <w:t>工作设立的专项补助经费，主要用于保障</w:t>
      </w:r>
      <w:r>
        <w:rPr>
          <w:rFonts w:hint="eastAsia" w:ascii="仿宋_GB2312" w:eastAsia="仿宋_GB2312"/>
          <w:sz w:val="32"/>
          <w:szCs w:val="32"/>
          <w:lang w:eastAsia="zh-CN"/>
        </w:rPr>
        <w:t>村公共卫生防疫</w:t>
      </w:r>
      <w:r>
        <w:rPr>
          <w:rFonts w:hint="eastAsia" w:ascii="仿宋_GB2312" w:eastAsia="仿宋_GB2312"/>
          <w:sz w:val="32"/>
          <w:szCs w:val="32"/>
        </w:rPr>
        <w:t>工作顺利开展。</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（二）项目绩效目标。项目绩效目标。总体绩效目标是确保我</w:t>
      </w:r>
      <w:r>
        <w:rPr>
          <w:rFonts w:hint="eastAsia" w:ascii="仿宋_GB2312" w:eastAsia="仿宋_GB2312"/>
          <w:sz w:val="32"/>
          <w:szCs w:val="32"/>
          <w:lang w:eastAsia="zh-CN"/>
        </w:rPr>
        <w:t>乡村公共卫生防疫</w:t>
      </w:r>
      <w:r>
        <w:rPr>
          <w:rFonts w:hint="eastAsia" w:ascii="仿宋_GB2312" w:eastAsia="仿宋_GB2312"/>
          <w:sz w:val="32"/>
          <w:szCs w:val="32"/>
        </w:rPr>
        <w:t>工作顺利展开，有足够的人员等进行政策落实工作。阶段性目标是按照季节及政策环境的变化能够分阶段开展工作。</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目的、对象和范围。绩效评价是为了能够让工作顺利的开展，有考核性质，提高工作人员工作积极性和主动性。绩效评价对象和范围主要是项目主要针对的方面的工作改善情况及日常工作的进行情况，以及工作人员的工作状态</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（三）绩效评价原则、评价指标体系（附表说明）、评价方法、评价标准等。</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spacing w:line="600" w:lineRule="exact"/>
        <w:ind w:firstLine="640" w:firstLineChars="200"/>
        <w:rPr>
          <w:rFonts w:eastAsia="黑体"/>
          <w:sz w:val="32"/>
          <w:szCs w:val="32"/>
        </w:rPr>
      </w:pPr>
      <w:r>
        <w:rPr>
          <w:rFonts w:hint="eastAsia" w:ascii="仿宋_GB2312" w:eastAsia="仿宋_GB2312"/>
          <w:sz w:val="32"/>
          <w:szCs w:val="32"/>
        </w:rPr>
        <w:t>项目有实施的必要性，且本项目是经县委县政府批准的日常性项目，为机关运转必要项目。</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（一）项目决策情况。项目由县委县政府统一安排实施，已经过论证可行性。</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（二）项目过程情况。项目为</w:t>
      </w:r>
      <w:r>
        <w:rPr>
          <w:rFonts w:hint="eastAsia" w:ascii="仿宋_GB2312" w:eastAsia="仿宋_GB2312"/>
          <w:sz w:val="32"/>
          <w:szCs w:val="32"/>
          <w:lang w:eastAsia="zh-CN"/>
        </w:rPr>
        <w:t>村公共卫生防疫</w:t>
      </w:r>
      <w:r>
        <w:rPr>
          <w:rFonts w:hint="eastAsia" w:ascii="仿宋_GB2312" w:eastAsia="仿宋_GB2312"/>
          <w:sz w:val="32"/>
          <w:szCs w:val="32"/>
        </w:rPr>
        <w:t>项目，贯穿全年。</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（三）项目产出情况。确保了</w:t>
      </w:r>
      <w:r>
        <w:rPr>
          <w:rFonts w:hint="eastAsia" w:ascii="仿宋_GB2312" w:eastAsia="仿宋_GB2312"/>
          <w:sz w:val="32"/>
          <w:szCs w:val="32"/>
          <w:lang w:eastAsia="zh-CN"/>
        </w:rPr>
        <w:t>乡村公共卫生防疫</w:t>
      </w:r>
      <w:r>
        <w:rPr>
          <w:rFonts w:hint="eastAsia" w:ascii="仿宋_GB2312" w:eastAsia="仿宋_GB2312"/>
          <w:sz w:val="32"/>
          <w:szCs w:val="32"/>
        </w:rPr>
        <w:t>及机关运行秩序。</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（四）项目效益情况。确保了</w:t>
      </w:r>
      <w:r>
        <w:rPr>
          <w:rFonts w:hint="eastAsia" w:ascii="仿宋_GB2312" w:eastAsia="仿宋_GB2312"/>
          <w:sz w:val="32"/>
          <w:szCs w:val="32"/>
          <w:lang w:eastAsia="zh-CN"/>
        </w:rPr>
        <w:t>乡村公共卫生防疫</w:t>
      </w:r>
      <w:r>
        <w:rPr>
          <w:rFonts w:hint="eastAsia" w:ascii="仿宋_GB2312" w:eastAsia="仿宋_GB2312"/>
          <w:sz w:val="32"/>
          <w:szCs w:val="32"/>
        </w:rPr>
        <w:t>及机关运行秩序。</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经过项目论证及实施确保了项目运行平稳，认识到了事前项目论证的必要性。</w:t>
      </w:r>
    </w:p>
    <w:p>
      <w:pPr>
        <w:numPr>
          <w:ilvl w:val="0"/>
          <w:numId w:val="1"/>
        </w:numPr>
        <w:spacing w:line="600" w:lineRule="exact"/>
        <w:ind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项目运行及维护过程要注重实施的有效性，随时进行项目监督。保证项目落到实处。</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无</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附表一：</w:t>
      </w:r>
    </w:p>
    <w:tbl>
      <w:tblPr>
        <w:tblStyle w:val="2"/>
        <w:tblW w:w="9510" w:type="dxa"/>
        <w:tblInd w:w="93" w:type="dxa"/>
        <w:tblLayout w:type="autofit"/>
        <w:tblCellMar>
          <w:top w:w="0" w:type="dxa"/>
          <w:left w:w="108" w:type="dxa"/>
          <w:bottom w:w="0" w:type="dxa"/>
          <w:right w:w="108" w:type="dxa"/>
        </w:tblCellMar>
      </w:tblPr>
      <w:tblGrid>
        <w:gridCol w:w="1350"/>
        <w:gridCol w:w="1365"/>
        <w:gridCol w:w="1185"/>
        <w:gridCol w:w="5610"/>
      </w:tblGrid>
      <w:tr>
        <w:tblPrEx>
          <w:tblCellMar>
            <w:top w:w="0" w:type="dxa"/>
            <w:left w:w="108" w:type="dxa"/>
            <w:bottom w:w="0" w:type="dxa"/>
            <w:right w:w="108" w:type="dxa"/>
          </w:tblCellMar>
        </w:tblPrEx>
        <w:trPr>
          <w:trHeight w:val="555" w:hRule="atLeast"/>
        </w:trPr>
        <w:tc>
          <w:tcPr>
            <w:tcW w:w="135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一级指标</w:t>
            </w:r>
          </w:p>
        </w:tc>
        <w:tc>
          <w:tcPr>
            <w:tcW w:w="136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二级指标</w:t>
            </w:r>
          </w:p>
        </w:tc>
        <w:tc>
          <w:tcPr>
            <w:tcW w:w="118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三级指标</w:t>
            </w:r>
          </w:p>
        </w:tc>
        <w:tc>
          <w:tcPr>
            <w:tcW w:w="56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评分规则</w:t>
            </w:r>
          </w:p>
        </w:tc>
      </w:tr>
      <w:tr>
        <w:tblPrEx>
          <w:tblCellMar>
            <w:top w:w="0" w:type="dxa"/>
            <w:left w:w="108" w:type="dxa"/>
            <w:bottom w:w="0" w:type="dxa"/>
            <w:right w:w="108" w:type="dxa"/>
          </w:tblCellMar>
        </w:tblPrEx>
        <w:trPr>
          <w:trHeight w:val="1050" w:hRule="atLeast"/>
        </w:trPr>
        <w:tc>
          <w:tcPr>
            <w:tcW w:w="135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一、立项必要性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（25分）</w:t>
            </w:r>
          </w:p>
        </w:tc>
        <w:tc>
          <w:tcPr>
            <w:tcW w:w="13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依据充分性</w:t>
            </w:r>
          </w:p>
        </w:tc>
        <w:tc>
          <w:tcPr>
            <w:tcW w:w="118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本级决议</w:t>
            </w:r>
          </w:p>
        </w:tc>
        <w:tc>
          <w:tcPr>
            <w:tcW w:w="56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依据县委、县政府重大决策立项，得5分,主要指县主要领导明确的批示、意见，县委常委会、县政府常务会会议纪要等。</w:t>
            </w:r>
          </w:p>
        </w:tc>
      </w:tr>
      <w:tr>
        <w:tblPrEx>
          <w:tblCellMar>
            <w:top w:w="0" w:type="dxa"/>
            <w:left w:w="108" w:type="dxa"/>
            <w:bottom w:w="0" w:type="dxa"/>
            <w:right w:w="108" w:type="dxa"/>
          </w:tblCellMar>
        </w:tblPrEx>
        <w:trPr>
          <w:trHeight w:val="780" w:hRule="atLeast"/>
        </w:trPr>
        <w:tc>
          <w:tcPr>
            <w:tcW w:w="135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上级规划</w:t>
            </w:r>
          </w:p>
        </w:tc>
        <w:tc>
          <w:tcPr>
            <w:tcW w:w="56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依据国家、省发展规划、方针政策或部门分管市领导批示、会议纪要立项，得5分。</w:t>
            </w:r>
          </w:p>
        </w:tc>
      </w:tr>
      <w:tr>
        <w:tblPrEx>
          <w:tblCellMar>
            <w:top w:w="0" w:type="dxa"/>
            <w:left w:w="108" w:type="dxa"/>
            <w:bottom w:w="0" w:type="dxa"/>
            <w:right w:w="108" w:type="dxa"/>
          </w:tblCellMar>
        </w:tblPrEx>
        <w:trPr>
          <w:trHeight w:val="735" w:hRule="atLeast"/>
        </w:trPr>
        <w:tc>
          <w:tcPr>
            <w:tcW w:w="135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部门规划</w:t>
            </w:r>
          </w:p>
        </w:tc>
        <w:tc>
          <w:tcPr>
            <w:tcW w:w="56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依据县级部门职能及中长期发展规划、部门年度工作计划或项目规划立项，得3分。</w:t>
            </w:r>
          </w:p>
        </w:tc>
      </w:tr>
      <w:tr>
        <w:tblPrEx>
          <w:tblCellMar>
            <w:top w:w="0" w:type="dxa"/>
            <w:left w:w="108" w:type="dxa"/>
            <w:bottom w:w="0" w:type="dxa"/>
            <w:right w:w="108" w:type="dxa"/>
          </w:tblCellMar>
        </w:tblPrEx>
        <w:trPr>
          <w:trHeight w:val="585" w:hRule="atLeast"/>
        </w:trPr>
        <w:tc>
          <w:tcPr>
            <w:tcW w:w="1350" w:type="dxa"/>
            <w:vMerge w:val="continue"/>
            <w:tcBorders>
              <w:top w:val="single" w:color="auto" w:sz="4" w:space="0"/>
              <w:left w:val="single" w:color="auto"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restart"/>
            <w:tcBorders>
              <w:top w:val="single" w:color="auto"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立项合理性</w:t>
            </w:r>
          </w:p>
        </w:tc>
        <w:tc>
          <w:tcPr>
            <w:tcW w:w="1185" w:type="dxa"/>
            <w:vMerge w:val="restart"/>
            <w:tcBorders>
              <w:top w:val="single" w:color="auto"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实施紧迫</w:t>
            </w:r>
          </w:p>
        </w:tc>
        <w:tc>
          <w:tcPr>
            <w:tcW w:w="5610" w:type="dxa"/>
            <w:tcBorders>
              <w:top w:val="single" w:color="auto"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项目必须实施，预算资金由财政安排，得5分。</w:t>
            </w:r>
          </w:p>
        </w:tc>
      </w:tr>
      <w:tr>
        <w:tblPrEx>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存在分年度安排情况，得2分。无紧迫性，不得分。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事权合理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属于县级财政事权范围，得2分，反之不得分。</w:t>
            </w:r>
          </w:p>
        </w:tc>
      </w:tr>
      <w:tr>
        <w:tblPrEx>
          <w:tblCellMar>
            <w:top w:w="0" w:type="dxa"/>
            <w:left w:w="108" w:type="dxa"/>
            <w:bottom w:w="0" w:type="dxa"/>
            <w:right w:w="108" w:type="dxa"/>
          </w:tblCellMar>
        </w:tblPrEx>
        <w:trPr>
          <w:trHeight w:val="765" w:hRule="atLeast"/>
        </w:trPr>
        <w:tc>
          <w:tcPr>
            <w:tcW w:w="1350"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项目相关</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相同或相近领域无用途相似的预算安排，得3分；反之不得分。</w:t>
            </w:r>
          </w:p>
        </w:tc>
      </w:tr>
      <w:tr>
        <w:tblPrEx>
          <w:tblCellMar>
            <w:top w:w="0" w:type="dxa"/>
            <w:left w:w="108" w:type="dxa"/>
            <w:bottom w:w="0" w:type="dxa"/>
            <w:right w:w="108" w:type="dxa"/>
          </w:tblCellMar>
        </w:tblPrEx>
        <w:trPr>
          <w:trHeight w:val="58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二、实施可行性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（25分）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实施可能性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制度健全</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具备明确的管理制度，得5分；没有不得分。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方案可行</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具备可行的实施方案，得10分；没有不得分。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路径最优</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具备最优的实施路径，得8分；反之不得分。</w:t>
            </w:r>
          </w:p>
        </w:tc>
      </w:tr>
      <w:tr>
        <w:tblPrEx>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风险可控性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风险可控</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具备风险防控方案或风险评估报告，得2分；没有不得分。</w:t>
            </w:r>
          </w:p>
        </w:tc>
      </w:tr>
      <w:tr>
        <w:tblPrEx>
          <w:tblCellMar>
            <w:top w:w="0" w:type="dxa"/>
            <w:left w:w="108" w:type="dxa"/>
            <w:bottom w:w="0" w:type="dxa"/>
            <w:right w:w="108" w:type="dxa"/>
          </w:tblCellMar>
        </w:tblPrEx>
        <w:trPr>
          <w:trHeight w:val="75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三、绩效目标合理性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（20分）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目标设置</w:t>
            </w: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指向精准</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能精准反映预算支出的产出和效果，得5分； 没有不得分。</w:t>
            </w:r>
          </w:p>
        </w:tc>
      </w:tr>
      <w:tr>
        <w:tblPrEx>
          <w:tblCellMar>
            <w:top w:w="0" w:type="dxa"/>
            <w:left w:w="108" w:type="dxa"/>
            <w:bottom w:w="0" w:type="dxa"/>
            <w:right w:w="108" w:type="dxa"/>
          </w:tblCellMar>
        </w:tblPrEx>
        <w:trPr>
          <w:trHeight w:val="78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客观公正</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目标符合客观实际，一定时期内能够实现，得5分；反之不得分。</w:t>
            </w:r>
          </w:p>
        </w:tc>
      </w:tr>
      <w:tr>
        <w:tblPrEx>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便于衡量</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绩效目标指标细化、量化，得5分；反之不得分。</w:t>
            </w:r>
          </w:p>
        </w:tc>
      </w:tr>
      <w:tr>
        <w:tblPrEx>
          <w:tblCellMar>
            <w:top w:w="0" w:type="dxa"/>
            <w:left w:w="108" w:type="dxa"/>
            <w:bottom w:w="0" w:type="dxa"/>
            <w:right w:w="108" w:type="dxa"/>
          </w:tblCellMar>
        </w:tblPrEx>
        <w:trPr>
          <w:trHeight w:val="75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数量适当</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绩效指标数量不少于6条，得5分；每缺少1条，扣1分。</w:t>
            </w:r>
          </w:p>
        </w:tc>
      </w:tr>
      <w:tr>
        <w:tblPrEx>
          <w:tblCellMar>
            <w:top w:w="0" w:type="dxa"/>
            <w:left w:w="108" w:type="dxa"/>
            <w:bottom w:w="0" w:type="dxa"/>
            <w:right w:w="108" w:type="dxa"/>
          </w:tblCellMar>
        </w:tblPrEx>
        <w:trPr>
          <w:trHeight w:val="84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四、投入经济性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资金测算</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依据充分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财政投入测算依据充分，得4分；测算依据每存在1条不充分的，扣1分，扣完为止。</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标准合理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测算标准合理，得3分；每存在1条标准偏高的，扣1分，扣完为止。</w:t>
            </w:r>
          </w:p>
        </w:tc>
      </w:tr>
      <w:tr>
        <w:tblPrEx>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资金效益</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成本与效益匹配</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投入成本与预期效益匹配，得3分；反之不得分。</w:t>
            </w:r>
          </w:p>
        </w:tc>
      </w:tr>
      <w:tr>
        <w:tblPrEx>
          <w:tblCellMar>
            <w:top w:w="0" w:type="dxa"/>
            <w:left w:w="108" w:type="dxa"/>
            <w:bottom w:w="0" w:type="dxa"/>
            <w:right w:w="108" w:type="dxa"/>
          </w:tblCellMar>
        </w:tblPrEx>
        <w:trPr>
          <w:trHeight w:val="73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五、筹资合规性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资金来源</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渠道明确</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明确财政资金、自有收入或其他资金安排，得5分；未明确不得分。</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合法合规</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资金来源符合国家法律、法规，得5分，反之不得分。</w:t>
            </w:r>
          </w:p>
        </w:tc>
      </w:tr>
      <w:tr>
        <w:tblPrEx>
          <w:tblCellMar>
            <w:top w:w="0" w:type="dxa"/>
            <w:left w:w="108" w:type="dxa"/>
            <w:bottom w:w="0" w:type="dxa"/>
            <w:right w:w="108" w:type="dxa"/>
          </w:tblCellMar>
        </w:tblPrEx>
        <w:trPr>
          <w:trHeight w:val="765"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六、可持续性（10分）</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财力支持</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财政承受能力</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实施期内县级财力能够承受，得10分；反之不得分。</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ABC7E6B"/>
    <w:multiLevelType w:val="singleLevel"/>
    <w:tmpl w:val="0ABC7E6B"/>
    <w:lvl w:ilvl="0" w:tentative="0">
      <w:start w:val="6"/>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99E0E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Office_11.8.2.11542_F1E327BC-269C-435d-A152-05C5408002CA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2024-04-22T02:52:32Z</dcterms:created>
  <dc:creator>Administrator</dc:creator>
  <cp:lastModifiedBy>Administrator</cp:lastModifiedBy>
  <dcterms:modified xsi:type="dcterms:W3CDTF">2024-04-22T02:52:52Z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2052-11.8.2.11542</vt:lpwstr>
  </property>
  <property fmtid="{D5CDD505-2E9C-101B-9397-08002B2CF9AE}" pid="3" name="ICV">
    <vt:lpwstr>F063D2B89D1C4E268A30E6C8735931F5</vt:lpwstr>
  </property>
</Properties>
</file>