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val="en-US" w:eastAsia="zh-CN"/>
        </w:rPr>
        <w:t>玉田县郭家桥乡人民政府</w:t>
      </w:r>
    </w:p>
    <w:p>
      <w:pPr>
        <w:widowControl/>
        <w:spacing w:line="600" w:lineRule="exact"/>
        <w:jc w:val="center"/>
        <w:rPr>
          <w:rFonts w:ascii="方正小标宋_GBK" w:hAnsi="宋体" w:eastAsia="方正小标宋_GBK" w:cs="宋体"/>
          <w:bCs/>
          <w:kern w:val="0"/>
          <w:sz w:val="44"/>
          <w:szCs w:val="44"/>
        </w:rPr>
      </w:pPr>
      <w:bookmarkStart w:id="0" w:name="_GoBack"/>
      <w:bookmarkEnd w:id="0"/>
      <w:r>
        <w:rPr>
          <w:rFonts w:hint="eastAsia" w:ascii="方正小标宋_GBK" w:hAnsi="宋体" w:eastAsia="方正小标宋_GBK" w:cs="宋体"/>
          <w:bCs/>
          <w:kern w:val="0"/>
          <w:sz w:val="44"/>
          <w:szCs w:val="44"/>
          <w:u w:val="none"/>
          <w:lang w:val="en-US" w:eastAsia="zh-CN"/>
        </w:rPr>
        <w:t>乡村振兴、人居环境整治、脱贫攻坚等</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r>
        <w:rPr>
          <w:rFonts w:hint="eastAsia" w:ascii="仿宋_GB2312" w:eastAsia="仿宋_GB2312"/>
          <w:sz w:val="32"/>
          <w:szCs w:val="32"/>
          <w:lang w:eastAsia="zh-CN"/>
        </w:rPr>
        <w:t>乡村振兴、人居环境整治、脱贫攻坚等</w:t>
      </w:r>
      <w:r>
        <w:rPr>
          <w:rFonts w:hint="eastAsia" w:ascii="仿宋_GB2312" w:eastAsia="仿宋_GB2312"/>
          <w:sz w:val="32"/>
          <w:szCs w:val="32"/>
        </w:rPr>
        <w:t>项目是为</w:t>
      </w:r>
      <w:r>
        <w:rPr>
          <w:rFonts w:hint="eastAsia" w:ascii="仿宋_GB2312" w:eastAsia="仿宋_GB2312"/>
          <w:sz w:val="32"/>
          <w:szCs w:val="32"/>
          <w:lang w:eastAsia="zh-CN"/>
        </w:rPr>
        <w:t>乡村振兴、人居环境整治、脱贫攻坚等</w:t>
      </w:r>
      <w:r>
        <w:rPr>
          <w:rFonts w:hint="eastAsia" w:ascii="仿宋_GB2312" w:eastAsia="仿宋_GB2312"/>
          <w:sz w:val="32"/>
          <w:szCs w:val="32"/>
        </w:rPr>
        <w:t>工作设立的专项补助经费，主要用于保障</w:t>
      </w:r>
      <w:r>
        <w:rPr>
          <w:rFonts w:hint="eastAsia" w:ascii="仿宋_GB2312" w:eastAsia="仿宋_GB2312"/>
          <w:sz w:val="32"/>
          <w:szCs w:val="32"/>
          <w:lang w:eastAsia="zh-CN"/>
        </w:rPr>
        <w:t>乡村振兴、人居环境整治、脱贫攻坚等</w:t>
      </w:r>
      <w:r>
        <w:rPr>
          <w:rFonts w:hint="eastAsia" w:ascii="仿宋_GB2312" w:eastAsia="仿宋_GB2312"/>
          <w:sz w:val="32"/>
          <w:szCs w:val="32"/>
        </w:rPr>
        <w:t>工作顺利开展。</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（二）项目绩效目标。项目绩效目标。总体绩效目标是确保我</w:t>
      </w:r>
      <w:r>
        <w:rPr>
          <w:rFonts w:hint="eastAsia" w:ascii="仿宋_GB2312" w:eastAsia="仿宋_GB2312"/>
          <w:sz w:val="32"/>
          <w:szCs w:val="32"/>
          <w:lang w:eastAsia="zh-CN"/>
        </w:rPr>
        <w:t>乡乡村振兴、人居环境整治、脱贫攻坚等</w:t>
      </w:r>
      <w:r>
        <w:rPr>
          <w:rFonts w:hint="eastAsia" w:ascii="仿宋_GB2312" w:eastAsia="仿宋_GB2312"/>
          <w:sz w:val="32"/>
          <w:szCs w:val="32"/>
        </w:rPr>
        <w:t>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ascii="仿宋_GB2312" w:eastAsia="仿宋_GB2312"/>
          <w:sz w:val="32"/>
          <w:szCs w:val="32"/>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（一）项目决策情况。项目由县委县政府统一安排实施，已经过论证可行性。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（二）项目过程情况。项目为</w:t>
      </w:r>
      <w:r>
        <w:rPr>
          <w:rFonts w:hint="eastAsia" w:ascii="仿宋_GB2312" w:eastAsia="仿宋_GB2312"/>
          <w:sz w:val="32"/>
          <w:szCs w:val="32"/>
          <w:lang w:eastAsia="zh-CN"/>
        </w:rPr>
        <w:t>乡村振兴、人居环境整治、脱贫攻坚等</w:t>
      </w:r>
      <w:r>
        <w:rPr>
          <w:rFonts w:hint="eastAsia" w:ascii="仿宋_GB2312" w:eastAsia="仿宋_GB2312"/>
          <w:sz w:val="32"/>
          <w:szCs w:val="32"/>
        </w:rPr>
        <w:t>项目，贯穿全年。</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（三）项目产出情况。确保了</w:t>
      </w:r>
      <w:r>
        <w:rPr>
          <w:rFonts w:hint="eastAsia" w:ascii="仿宋_GB2312" w:eastAsia="仿宋_GB2312"/>
          <w:sz w:val="32"/>
          <w:szCs w:val="32"/>
          <w:lang w:eastAsia="zh-CN"/>
        </w:rPr>
        <w:t>乡乡村振兴、人居环境整治、脱贫攻坚等</w:t>
      </w:r>
      <w:r>
        <w:rPr>
          <w:rFonts w:hint="eastAsia" w:ascii="仿宋_GB2312" w:eastAsia="仿宋_GB2312"/>
          <w:sz w:val="32"/>
          <w:szCs w:val="32"/>
        </w:rPr>
        <w:t>及机关运行秩序。</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（四）项目效益情况。确保了</w:t>
      </w:r>
      <w:r>
        <w:rPr>
          <w:rFonts w:hint="eastAsia" w:ascii="仿宋_GB2312" w:eastAsia="仿宋_GB2312"/>
          <w:sz w:val="32"/>
          <w:szCs w:val="32"/>
          <w:lang w:eastAsia="zh-CN"/>
        </w:rPr>
        <w:t>乡乡村振兴、人居环境整治、脱贫攻坚等</w:t>
      </w:r>
      <w:r>
        <w:rPr>
          <w:rFonts w:hint="eastAsia" w:ascii="仿宋_GB2312" w:eastAsia="仿宋_GB2312"/>
          <w:sz w:val="32"/>
          <w:szCs w:val="32"/>
        </w:rPr>
        <w:t>及机关运行秩序。</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经过项目论证及实施确保了项目运行平稳，认识到了事前项目论证的必要性。</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项目运行及维护过程要注重实施的有效性，随时进行项目监督。保证项目落到实处。</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无</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附表一：</w:t>
      </w:r>
    </w:p>
    <w:tbl>
      <w:tblPr>
        <w:tblStyle w:val="2"/>
        <w:tblW w:w="9510" w:type="dxa"/>
        <w:tblInd w:w="93" w:type="dxa"/>
        <w:tblLayout w:type="autofit"/>
        <w:tblCellMar>
          <w:top w:w="0" w:type="dxa"/>
          <w:left w:w="108" w:type="dxa"/>
          <w:bottom w:w="0" w:type="dxa"/>
          <w:right w:w="108" w:type="dxa"/>
        </w:tblCellMar>
      </w:tblPr>
      <w:tblGrid>
        <w:gridCol w:w="1350"/>
        <w:gridCol w:w="1365"/>
        <w:gridCol w:w="1185"/>
        <w:gridCol w:w="5610"/>
      </w:tblGrid>
      <w:tr>
        <w:tblPrEx>
          <w:tblCellMar>
            <w:top w:w="0" w:type="dxa"/>
            <w:left w:w="108" w:type="dxa"/>
            <w:bottom w:w="0" w:type="dxa"/>
            <w:right w:w="108" w:type="dxa"/>
          </w:tblCellMar>
        </w:tblPrEx>
        <w:trPr>
          <w:trHeight w:val="555" w:hRule="atLeast"/>
        </w:trPr>
        <w:tc>
          <w:tcPr>
            <w:tcW w:w="135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一级指标</w:t>
            </w:r>
          </w:p>
        </w:tc>
        <w:tc>
          <w:tcPr>
            <w:tcW w:w="136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二级指标</w:t>
            </w:r>
          </w:p>
        </w:tc>
        <w:tc>
          <w:tcPr>
            <w:tcW w:w="118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三级指标</w:t>
            </w:r>
          </w:p>
        </w:tc>
        <w:tc>
          <w:tcPr>
            <w:tcW w:w="56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一、立项必要性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依据充分性</w:t>
            </w:r>
          </w:p>
        </w:tc>
        <w:tc>
          <w:tcPr>
            <w:tcW w:w="11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本级决议</w:t>
            </w:r>
          </w:p>
        </w:tc>
        <w:tc>
          <w:tcPr>
            <w:tcW w:w="56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上级规划</w:t>
            </w:r>
          </w:p>
        </w:tc>
        <w:tc>
          <w:tcPr>
            <w:tcW w:w="56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部门规划</w:t>
            </w:r>
          </w:p>
        </w:tc>
        <w:tc>
          <w:tcPr>
            <w:tcW w:w="56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auto" w:sz="4" w:space="0"/>
              <w:left w:val="single" w:color="auto"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立项合理性</w:t>
            </w:r>
          </w:p>
        </w:tc>
        <w:tc>
          <w:tcPr>
            <w:tcW w:w="1185"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实施紧迫</w:t>
            </w:r>
          </w:p>
        </w:tc>
        <w:tc>
          <w:tcPr>
            <w:tcW w:w="5610"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二、实施可行性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三、绩效目标合理性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四、投入经济性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五、筹资合规性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实施期内县级财力能够承受，得10分；反之不得分。</w:t>
            </w:r>
          </w:p>
        </w:tc>
      </w:tr>
    </w:tbl>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ABC7E6B"/>
    <w:multiLevelType w:val="singleLevel"/>
    <w:tmpl w:val="0ABC7E6B"/>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A5C38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2024-04-22T02:44:08Z</dcterms:created>
  <dc:creator>Administrator</dc:creator>
  <cp:lastModifiedBy>Administrator</cp:lastModifiedBy>
  <dcterms:modified xsi:type="dcterms:W3CDTF">2024-04-22T02:44:28Z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929A2A29CF2544CA850599FF27F7AEFB</vt:lpwstr>
  </property>
</Properties>
</file>