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玉田县科学技术协会</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老科协运转经费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（一）项目概况。</w:t>
      </w:r>
      <w:r>
        <w:rPr>
          <w:rFonts w:hint="eastAsia" w:ascii="Times New Roman" w:hAnsi="Times New Roman" w:eastAsia="仿宋"/>
          <w:sz w:val="32"/>
          <w:szCs w:val="32"/>
        </w:rPr>
        <w:t>成立评估组织。评估组成员：</w:t>
      </w:r>
      <w:r>
        <w:rPr>
          <w:rFonts w:hint="eastAsia" w:eastAsia="仿宋"/>
          <w:sz w:val="32"/>
          <w:szCs w:val="32"/>
          <w:lang w:eastAsia="zh-CN"/>
        </w:rPr>
        <w:t>科协</w:t>
      </w:r>
      <w:r>
        <w:rPr>
          <w:rFonts w:hint="eastAsia" w:ascii="Times New Roman" w:hAnsi="Times New Roman" w:eastAsia="仿宋"/>
          <w:sz w:val="32"/>
          <w:szCs w:val="32"/>
        </w:rPr>
        <w:t>主要领导、相关业务科室负责人、业务人员。制定评估方案。</w:t>
      </w:r>
      <w:r>
        <w:rPr>
          <w:rFonts w:hint="eastAsia" w:ascii="仿宋_GB2312" w:eastAsia="仿宋_GB2312"/>
          <w:sz w:val="32"/>
          <w:szCs w:val="32"/>
          <w:lang w:eastAsia="zh-CN"/>
        </w:rPr>
        <w:t>县科协</w:t>
      </w:r>
      <w:r>
        <w:rPr>
          <w:rFonts w:ascii="仿宋" w:hAnsi="仿宋" w:eastAsia="仿宋" w:cs="Times New Roman"/>
          <w:color w:val="000000"/>
          <w:sz w:val="32"/>
          <w:szCs w:val="32"/>
        </w:rPr>
        <w:t>20</w:t>
      </w:r>
      <w:r>
        <w:rPr>
          <w:rFonts w:hint="eastAsia" w:ascii="仿宋" w:hAnsi="仿宋" w:eastAsia="仿宋" w:cs="Times New Roman"/>
          <w:color w:val="000000"/>
          <w:sz w:val="32"/>
          <w:szCs w:val="32"/>
          <w:lang w:val="en-US" w:eastAsia="zh-CN"/>
        </w:rPr>
        <w:t>23</w:t>
      </w:r>
      <w:r>
        <w:rPr>
          <w:rFonts w:hint="eastAsia" w:ascii="仿宋" w:hAnsi="仿宋" w:eastAsia="仿宋" w:cs="Times New Roman"/>
          <w:color w:val="000000"/>
          <w:sz w:val="32"/>
          <w:szCs w:val="32"/>
        </w:rPr>
        <w:t>年县级</w:t>
      </w:r>
      <w:r>
        <w:rPr>
          <w:rFonts w:hint="eastAsia" w:ascii="仿宋" w:hAnsi="仿宋" w:eastAsia="仿宋" w:cs="Times New Roman"/>
          <w:color w:val="000000"/>
          <w:sz w:val="32"/>
          <w:szCs w:val="32"/>
          <w:lang w:eastAsia="zh-CN"/>
        </w:rPr>
        <w:t>老科协运转经费</w:t>
      </w:r>
      <w:r>
        <w:rPr>
          <w:rFonts w:hint="eastAsia" w:ascii="仿宋" w:hAnsi="仿宋" w:eastAsia="仿宋" w:cs="Times New Roman"/>
          <w:color w:val="000000"/>
          <w:sz w:val="32"/>
          <w:szCs w:val="32"/>
        </w:rPr>
        <w:t>预算安排资金</w:t>
      </w:r>
      <w:r>
        <w:rPr>
          <w:rFonts w:hint="eastAsia" w:ascii="仿宋" w:hAnsi="仿宋" w:eastAsia="仿宋" w:cs="Times New Roman"/>
          <w:color w:val="000000"/>
          <w:sz w:val="32"/>
          <w:szCs w:val="32"/>
          <w:lang w:val="en-US" w:eastAsia="zh-CN"/>
        </w:rPr>
        <w:t>9.99</w:t>
      </w:r>
      <w:r>
        <w:rPr>
          <w:rFonts w:hint="eastAsia" w:ascii="仿宋" w:hAnsi="仿宋" w:eastAsia="仿宋" w:cs="Times New Roman"/>
          <w:color w:val="000000"/>
          <w:sz w:val="32"/>
          <w:szCs w:val="32"/>
        </w:rPr>
        <w:t>万元</w:t>
      </w:r>
      <w:r>
        <w:rPr>
          <w:rFonts w:hint="eastAsia" w:ascii="仿宋" w:hAnsi="仿宋" w:eastAsia="仿宋" w:cs="Times New Roman"/>
          <w:color w:val="000000"/>
          <w:sz w:val="32"/>
          <w:szCs w:val="32"/>
          <w:lang w:eastAsia="zh-CN"/>
        </w:rPr>
        <w:t>，主要用于老科协运转工作。</w:t>
      </w:r>
    </w:p>
    <w:p>
      <w:pPr>
        <w:pStyle w:val="9"/>
        <w:rPr>
          <w:rFonts w:hint="eastAsia" w:ascii="仿宋_GB2312" w:eastAsia="仿宋_GB2312"/>
          <w:sz w:val="32"/>
          <w:szCs w:val="32"/>
        </w:rPr>
      </w:pPr>
      <w:r>
        <w:rPr>
          <w:rFonts w:hint="eastAsia" w:ascii="仿宋_GB2312" w:eastAsia="仿宋_GB2312"/>
          <w:sz w:val="32"/>
          <w:szCs w:val="32"/>
        </w:rPr>
        <w:t xml:space="preserve">（二）项目绩效目标。1、确保科协行政工作正常运转和干部职工基本工资福利。 </w:t>
      </w:r>
    </w:p>
    <w:p>
      <w:pPr>
        <w:pStyle w:val="9"/>
        <w:rPr>
          <w:rFonts w:hint="eastAsia" w:ascii="仿宋_GB2312" w:eastAsia="仿宋_GB2312"/>
          <w:sz w:val="32"/>
          <w:szCs w:val="32"/>
        </w:rPr>
      </w:pPr>
      <w:r>
        <w:rPr>
          <w:rFonts w:hint="eastAsia" w:ascii="仿宋_GB2312" w:eastAsia="仿宋_GB2312"/>
          <w:sz w:val="32"/>
          <w:szCs w:val="32"/>
        </w:rPr>
        <w:t xml:space="preserve">2、完善科普基础设施设备，加强科普宣传阵地建设和各类科普活动开展，拓宽公众获取科学知识的渠道，提高公民科学文化素质。 </w:t>
      </w:r>
    </w:p>
    <w:p>
      <w:pPr>
        <w:pStyle w:val="9"/>
        <w:rPr>
          <w:rFonts w:hint="eastAsia" w:ascii="仿宋_GB2312" w:hAnsi="仿宋" w:eastAsia="仿宋_GB2312" w:cs="仿宋"/>
          <w:sz w:val="32"/>
          <w:szCs w:val="32"/>
        </w:rPr>
      </w:pPr>
      <w:r>
        <w:rPr>
          <w:rFonts w:hint="eastAsia" w:ascii="仿宋_GB2312" w:eastAsia="仿宋_GB2312"/>
          <w:sz w:val="32"/>
          <w:szCs w:val="32"/>
        </w:rPr>
        <w:t>3、加强科协组织管理，搭建政策激励平台，支持科技创新和成果运用</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SA"/>
        </w:rPr>
        <w:t>根据文件要求，绩效运行监控范围为预算单位2023年度部门预算项目支出开展绩效运行监控。</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numPr>
          <w:ilvl w:val="0"/>
          <w:numId w:val="0"/>
        </w:numPr>
        <w:spacing w:line="600" w:lineRule="exact"/>
        <w:ind w:firstLine="640" w:firstLineChars="200"/>
        <w:rPr>
          <w:rFonts w:hint="eastAsia" w:ascii="仿宋_GB2312" w:eastAsia="仿宋"/>
          <w:sz w:val="32"/>
          <w:szCs w:val="32"/>
          <w:lang w:eastAsia="zh-CN"/>
        </w:rPr>
      </w:pPr>
      <w:r>
        <w:rPr>
          <w:rFonts w:hint="eastAsia" w:ascii="仿宋_GB2312" w:eastAsia="仿宋_GB2312"/>
          <w:sz w:val="32"/>
          <w:szCs w:val="32"/>
        </w:rPr>
        <w:t>为了提高绩效运行监控工作质量和效率，成立了绩效运行监控工作小组，小组办公室设在财务室，全面负责本次绩效监控工作。组织项目实施</w:t>
      </w:r>
      <w:r>
        <w:rPr>
          <w:rFonts w:hint="eastAsia" w:ascii="仿宋_GB2312" w:eastAsia="仿宋_GB2312"/>
          <w:sz w:val="32"/>
          <w:szCs w:val="32"/>
          <w:lang w:eastAsia="zh-CN"/>
        </w:rPr>
        <w:t>科</w:t>
      </w:r>
      <w:r>
        <w:rPr>
          <w:rFonts w:hint="eastAsia" w:ascii="仿宋_GB2312" w:eastAsia="仿宋_GB2312"/>
          <w:sz w:val="32"/>
          <w:szCs w:val="32"/>
        </w:rPr>
        <w:t>室学习文件，了解绩效运行监控工作流程，明确工作责任，工作小组将绩效运行监控工作进行分解，对绩效监控过程进行指导和监督。加强沟通配合，工作小组指导</w:t>
      </w:r>
      <w:r>
        <w:rPr>
          <w:rFonts w:hint="eastAsia" w:ascii="仿宋_GB2312" w:eastAsia="仿宋_GB2312"/>
          <w:sz w:val="32"/>
          <w:szCs w:val="32"/>
          <w:lang w:eastAsia="zh-CN"/>
        </w:rPr>
        <w:t>科</w:t>
      </w:r>
      <w:r>
        <w:rPr>
          <w:rFonts w:hint="eastAsia" w:ascii="仿宋_GB2312" w:eastAsia="仿宋_GB2312"/>
          <w:sz w:val="32"/>
          <w:szCs w:val="32"/>
        </w:rPr>
        <w:t>室认真收集、整理相关资料，填写项目支出绩效目标执行监控表，要求对偏差原因进行分析说明，对绩效目标完成情况进行预计。按照“谁支出、谁监控”原则，组织项目实施科室对照绩效目标，对所负责预算批复的项目绩效目标完成情况进行监控。</w:t>
      </w:r>
      <w:r>
        <w:rPr>
          <w:rFonts w:hint="eastAsia" w:ascii="仿宋" w:hAnsi="仿宋" w:eastAsia="仿宋"/>
          <w:sz w:val="32"/>
          <w:szCs w:val="32"/>
        </w:rPr>
        <w:t>查阅年度预算安排、预算追加、资金管理、经费支出等相关文件资料和财务凭证。对提供的材料及自评报告，结合现场评价情况进行综合分析、归纳汇总。最终，对各项评价指标进行综合评分确认，并形成初步报告，交由绩效评价工作领导小组进行审核。审核通过后，形成正式绩效评价报告</w:t>
      </w:r>
      <w:r>
        <w:rPr>
          <w:rFonts w:hint="eastAsia" w:ascii="仿宋" w:hAnsi="仿宋" w:eastAsia="仿宋"/>
          <w:sz w:val="32"/>
          <w:szCs w:val="32"/>
          <w:lang w:eastAsia="zh-CN"/>
        </w:rPr>
        <w:t>。</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numPr>
          <w:ilvl w:val="0"/>
          <w:numId w:val="0"/>
        </w:numPr>
        <w:spacing w:line="60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通过对绩效实施的具体情况进行自我评价，</w:t>
      </w:r>
      <w:r>
        <w:rPr>
          <w:rFonts w:hint="eastAsia" w:ascii="仿宋" w:hAnsi="仿宋" w:eastAsia="仿宋"/>
          <w:color w:val="000000"/>
          <w:kern w:val="0"/>
          <w:sz w:val="32"/>
          <w:szCs w:val="32"/>
          <w:lang w:val="en-US" w:eastAsia="zh-CN"/>
        </w:rPr>
        <w:t>2023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r>
        <w:rPr>
          <w:rFonts w:hint="eastAsia" w:ascii="仿宋" w:hAnsi="仿宋" w:eastAsia="仿宋"/>
          <w:color w:val="000000"/>
          <w:kern w:val="0"/>
          <w:sz w:val="32"/>
          <w:szCs w:val="32"/>
          <w:lang w:eastAsia="zh-CN"/>
        </w:rPr>
        <w:t>。</w:t>
      </w:r>
    </w:p>
    <w:p>
      <w:pPr>
        <w:spacing w:line="600" w:lineRule="exact"/>
        <w:ind w:firstLine="640" w:firstLineChars="200"/>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根据上级安排，我单位老科协运转经费项目资金</w:t>
      </w:r>
      <w:r>
        <w:rPr>
          <w:rFonts w:hint="eastAsia" w:ascii="仿宋_GB2312" w:eastAsia="仿宋_GB2312"/>
          <w:sz w:val="32"/>
          <w:szCs w:val="32"/>
          <w:lang w:val="en-US" w:eastAsia="zh-CN"/>
        </w:rPr>
        <w:t>9.99万元。</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 w:hAnsi="仿宋" w:eastAsia="仿宋" w:cs="Times New Roman"/>
          <w:kern w:val="2"/>
          <w:sz w:val="30"/>
          <w:szCs w:val="32"/>
          <w:lang w:val="en-US" w:eastAsia="zh-CN" w:bidi="ar-SA"/>
        </w:rPr>
        <w:t>预算为9.99万元，项目资金到位率为100%。</w:t>
      </w:r>
      <w:r>
        <w:rPr>
          <w:rFonts w:hint="eastAsia" w:ascii="仿宋" w:hAnsi="仿宋" w:eastAsia="仿宋"/>
          <w:color w:val="000000"/>
          <w:kern w:val="0"/>
          <w:sz w:val="32"/>
          <w:szCs w:val="32"/>
        </w:rPr>
        <w:t>根据年初制定</w:t>
      </w:r>
      <w:r>
        <w:rPr>
          <w:rFonts w:hint="eastAsia" w:ascii="仿宋" w:hAnsi="仿宋" w:eastAsia="仿宋"/>
          <w:color w:val="000000"/>
          <w:kern w:val="0"/>
          <w:sz w:val="32"/>
          <w:szCs w:val="32"/>
          <w:lang w:val="en-US" w:eastAsia="zh-CN"/>
        </w:rPr>
        <w:t>的项目</w:t>
      </w:r>
      <w:r>
        <w:rPr>
          <w:rFonts w:hint="eastAsia" w:ascii="仿宋" w:hAnsi="仿宋" w:eastAsia="仿宋"/>
          <w:color w:val="000000"/>
          <w:kern w:val="0"/>
          <w:sz w:val="32"/>
          <w:szCs w:val="32"/>
        </w:rPr>
        <w:t>绩效目标，</w:t>
      </w:r>
      <w:r>
        <w:rPr>
          <w:rFonts w:hint="eastAsia" w:ascii="仿宋" w:hAnsi="仿宋" w:eastAsia="仿宋"/>
          <w:color w:val="000000"/>
          <w:kern w:val="0"/>
          <w:sz w:val="32"/>
          <w:szCs w:val="32"/>
          <w:lang w:val="en-US" w:eastAsia="zh-CN"/>
        </w:rPr>
        <w:t>对全年的活动计划</w:t>
      </w:r>
      <w:r>
        <w:rPr>
          <w:rFonts w:hint="eastAsia" w:ascii="仿宋" w:hAnsi="仿宋" w:eastAsia="仿宋"/>
          <w:color w:val="000000"/>
          <w:kern w:val="0"/>
          <w:sz w:val="32"/>
          <w:szCs w:val="32"/>
        </w:rPr>
        <w:t>进行了任务分解。严格按照既定方案和计划组织</w:t>
      </w:r>
      <w:bookmarkStart w:id="0" w:name="_GoBack"/>
      <w:bookmarkEnd w:id="0"/>
      <w:r>
        <w:rPr>
          <w:rFonts w:hint="eastAsia" w:ascii="仿宋" w:hAnsi="仿宋" w:eastAsia="仿宋"/>
          <w:color w:val="000000"/>
          <w:kern w:val="0"/>
          <w:sz w:val="32"/>
          <w:szCs w:val="32"/>
        </w:rPr>
        <w:t>实施，确保专款专用。严格遵守各项规章制度，按计划开展</w:t>
      </w:r>
      <w:r>
        <w:rPr>
          <w:rFonts w:hint="eastAsia" w:ascii="仿宋" w:hAnsi="仿宋" w:eastAsia="仿宋"/>
          <w:color w:val="000000"/>
          <w:kern w:val="0"/>
          <w:sz w:val="32"/>
          <w:szCs w:val="32"/>
          <w:lang w:val="en-US" w:eastAsia="zh-CN"/>
        </w:rPr>
        <w:t>活动，及时组织开展成效验收评估，确保活动开展到哪里，项目资金就跟进到哪里</w:t>
      </w:r>
      <w:r>
        <w:rPr>
          <w:rFonts w:hint="eastAsia" w:ascii="仿宋" w:hAnsi="仿宋" w:eastAsia="仿宋"/>
          <w:color w:val="000000"/>
          <w:kern w:val="0"/>
          <w:sz w:val="32"/>
          <w:szCs w:val="32"/>
          <w:lang w:eastAsia="zh-CN"/>
        </w:rPr>
        <w:t>。</w:t>
      </w:r>
    </w:p>
    <w:p>
      <w:pPr>
        <w:spacing w:line="600" w:lineRule="exact"/>
        <w:ind w:firstLine="640" w:firstLineChars="200"/>
        <w:outlineLvl w:val="0"/>
        <w:rPr>
          <w:rFonts w:hint="eastAsia" w:ascii="仿宋" w:hAnsi="仿宋" w:eastAsia="仿宋"/>
          <w:sz w:val="32"/>
          <w:szCs w:val="32"/>
        </w:rPr>
      </w:pPr>
      <w:r>
        <w:rPr>
          <w:rFonts w:hint="eastAsia" w:ascii="仿宋_GB2312" w:eastAsia="仿宋_GB2312"/>
          <w:sz w:val="32"/>
          <w:szCs w:val="32"/>
        </w:rPr>
        <w:t>（三）项目产出情况。</w:t>
      </w:r>
      <w:r>
        <w:rPr>
          <w:rFonts w:hint="eastAsia" w:ascii="仿宋_GB2312" w:eastAsia="仿宋_GB2312"/>
          <w:sz w:val="32"/>
          <w:szCs w:val="32"/>
          <w:lang w:val="en-US" w:eastAsia="zh-CN"/>
        </w:rPr>
        <w:t>（1）</w:t>
      </w:r>
      <w:r>
        <w:rPr>
          <w:rFonts w:hint="eastAsia" w:ascii="仿宋" w:hAnsi="仿宋" w:eastAsia="仿宋"/>
          <w:sz w:val="32"/>
          <w:szCs w:val="32"/>
        </w:rPr>
        <w:t>通过组织“5+X”主题党日学习</w:t>
      </w:r>
      <w:r>
        <w:rPr>
          <w:rFonts w:hint="eastAsia" w:ascii="仿宋" w:hAnsi="仿宋" w:eastAsia="仿宋"/>
          <w:sz w:val="32"/>
          <w:szCs w:val="32"/>
          <w:lang w:eastAsia="zh-CN"/>
        </w:rPr>
        <w:t>，</w:t>
      </w:r>
      <w:r>
        <w:rPr>
          <w:rFonts w:hint="eastAsia" w:ascii="仿宋" w:hAnsi="仿宋" w:eastAsia="仿宋"/>
          <w:sz w:val="32"/>
          <w:szCs w:val="32"/>
        </w:rPr>
        <w:t>充分利用“学习强国”、河北干部网络学院等网络平台多层次全方位开展十九届</w:t>
      </w:r>
      <w:r>
        <w:rPr>
          <w:rFonts w:hint="eastAsia" w:ascii="仿宋" w:hAnsi="仿宋" w:eastAsia="仿宋"/>
          <w:sz w:val="32"/>
          <w:szCs w:val="32"/>
          <w:lang w:val="en-US" w:eastAsia="zh-CN"/>
        </w:rPr>
        <w:t>六</w:t>
      </w:r>
      <w:r>
        <w:rPr>
          <w:rFonts w:hint="eastAsia" w:ascii="仿宋" w:hAnsi="仿宋" w:eastAsia="仿宋"/>
          <w:sz w:val="32"/>
          <w:szCs w:val="32"/>
        </w:rPr>
        <w:t>中全会精神学习活动。</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_GB2312" w:eastAsia="仿宋_GB2312"/>
          <w:sz w:val="32"/>
          <w:szCs w:val="32"/>
        </w:rPr>
        <w:t>（四）项目效益情况。</w:t>
      </w:r>
      <w:r>
        <w:rPr>
          <w:rFonts w:hint="eastAsia" w:ascii="仿宋_GB2312" w:eastAsia="仿宋_GB2312"/>
          <w:sz w:val="32"/>
          <w:szCs w:val="32"/>
          <w:lang w:val="en-US" w:eastAsia="zh-CN"/>
        </w:rPr>
        <w:t>1、</w:t>
      </w:r>
      <w:r>
        <w:rPr>
          <w:rFonts w:hint="eastAsia" w:ascii="仿宋" w:hAnsi="仿宋" w:eastAsia="仿宋" w:cs="仿宋"/>
          <w:sz w:val="32"/>
          <w:szCs w:val="32"/>
        </w:rPr>
        <w:t>在全社会营造关心和支持老科技工作者的良好氛围，进一步发挥老科技工作者的优势特长，为经济社会发展作贡献。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团结我县老科技工作者继续发挥优势特长，引领他们开展决策咨询、科技创新、科学普及、推动科技为民服务等方面更好发光发热，进一步完善政策措施，创新服务方式，加强协调合作，推动老科协工作迈上新台阶。</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一</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主要经验及做法。</w:t>
      </w:r>
      <w:r>
        <w:rPr>
          <w:rFonts w:hint="eastAsia" w:ascii="仿宋" w:hAnsi="仿宋" w:eastAsia="仿宋"/>
          <w:color w:val="000000"/>
          <w:kern w:val="0"/>
          <w:sz w:val="32"/>
          <w:szCs w:val="32"/>
        </w:rPr>
        <w:t>绩效运行监控应按照文件中规定的工作流程进行，对照制定的绩效目标，据实收集各项目绩效监控信息，在收集的基础上，对偏离绩效目标的原因进行分析，对全年绩效目标完成情况进行预计，并对预计年底不能完成目标的原因及拟采取的改进措施做出说明，将上述情况填报至绩效监控情况表中，做到内容完整、数据真实、客观公正。将绩效运行监控同预算执行进度一起进行“双监控”，发现问题及时纠正，确保绩效目标如期保质保量实现，在监控过程中，努力探索适合本单位实际情况的监控管理机制，提高资金运行效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二</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rPr>
        <w:t>存在的问题及原因分析</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一是</w:t>
      </w:r>
      <w:r>
        <w:rPr>
          <w:rFonts w:hint="eastAsia" w:ascii="仿宋" w:hAnsi="仿宋" w:eastAsia="仿宋"/>
          <w:color w:val="000000"/>
          <w:kern w:val="0"/>
          <w:sz w:val="32"/>
          <w:szCs w:val="32"/>
        </w:rPr>
        <w:t>对于绩效运行监控的认识不够深入，把项目支出绩效简单等同于工作目标、工作考核和业务管理。</w:t>
      </w:r>
      <w:r>
        <w:rPr>
          <w:rFonts w:hint="eastAsia" w:ascii="仿宋" w:hAnsi="仿宋" w:eastAsia="仿宋"/>
          <w:color w:val="000000"/>
          <w:kern w:val="0"/>
          <w:sz w:val="32"/>
          <w:szCs w:val="32"/>
          <w:lang w:val="en-US" w:eastAsia="zh-CN"/>
        </w:rPr>
        <w:t>二是</w:t>
      </w:r>
      <w:r>
        <w:rPr>
          <w:rFonts w:hint="eastAsia" w:ascii="仿宋" w:hAnsi="仿宋" w:eastAsia="仿宋"/>
          <w:color w:val="000000"/>
          <w:kern w:val="0"/>
          <w:sz w:val="32"/>
          <w:szCs w:val="32"/>
        </w:rPr>
        <w:t>绩效目标和指标往往根据项目实际完成情况制定，对项目执行过程有效约束不够，存在一定的偏差。</w:t>
      </w:r>
    </w:p>
    <w:p>
      <w:pPr>
        <w:spacing w:line="600" w:lineRule="exact"/>
        <w:ind w:firstLine="640" w:firstLineChars="200"/>
        <w:rPr>
          <w:rFonts w:hint="eastAsia" w:eastAsia="黑体"/>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（一）加强绩效运行监控管理制度和流程建设，进一步深化、完善绩效管理体系，建立全过程的预算绩效管理机制，促进绩效管理工作向广度和深度延伸。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ascii="仿宋" w:hAnsi="仿宋" w:eastAsia="仿宋"/>
          <w:color w:val="000000"/>
          <w:kern w:val="0"/>
          <w:sz w:val="32"/>
          <w:szCs w:val="32"/>
        </w:rPr>
        <w:t>（二）规范绩效运行监控资料的收集整理，确保相关信息完整、可靠，客观公正地反映项目资金实际使用和产生的绩效状况，为今后该项目实施方向及管理方式的改进提供指导。</w:t>
      </w:r>
    </w:p>
    <w:p>
      <w:pPr>
        <w:numPr>
          <w:ilvl w:val="0"/>
          <w:numId w:val="0"/>
        </w:numPr>
        <w:spacing w:line="600" w:lineRule="exact"/>
        <w:rPr>
          <w:rFonts w:hint="eastAsia" w:eastAsia="黑体"/>
          <w:sz w:val="32"/>
          <w:szCs w:val="32"/>
        </w:rPr>
      </w:pPr>
    </w:p>
    <w:p>
      <w:pPr>
        <w:numPr>
          <w:ilvl w:val="0"/>
          <w:numId w:val="2"/>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eastAsia" w:eastAsia="黑体"/>
          <w:b w:val="0"/>
          <w:bCs w:val="0"/>
          <w:lang w:val="en-US" w:eastAsia="zh-CN"/>
        </w:rPr>
      </w:pPr>
      <w:r>
        <w:rPr>
          <w:rFonts w:hint="eastAsia" w:eastAsia="黑体"/>
          <w:b w:val="0"/>
          <w:bCs w:val="0"/>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A1A1AF"/>
    <w:multiLevelType w:val="singleLevel"/>
    <w:tmpl w:val="C9A1A1AF"/>
    <w:lvl w:ilvl="0" w:tentative="0">
      <w:start w:val="6"/>
      <w:numFmt w:val="chineseCounting"/>
      <w:suff w:val="nothing"/>
      <w:lvlText w:val="%1、"/>
      <w:lvlJc w:val="left"/>
      <w:rPr>
        <w:rFonts w:hint="eastAsia"/>
      </w:rPr>
    </w:lvl>
  </w:abstractNum>
  <w:abstractNum w:abstractNumId="1">
    <w:nsid w:val="341414B7"/>
    <w:multiLevelType w:val="singleLevel"/>
    <w:tmpl w:val="341414B7"/>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3C73C40"/>
    <w:rsid w:val="08976F8C"/>
    <w:rsid w:val="0E486C7E"/>
    <w:rsid w:val="0FD13331"/>
    <w:rsid w:val="20CD0AFC"/>
    <w:rsid w:val="22181C0B"/>
    <w:rsid w:val="2E7C6AF7"/>
    <w:rsid w:val="30EB11F6"/>
    <w:rsid w:val="319672A7"/>
    <w:rsid w:val="36BB69D9"/>
    <w:rsid w:val="44787793"/>
    <w:rsid w:val="4595474B"/>
    <w:rsid w:val="49D67DF9"/>
    <w:rsid w:val="51D879E2"/>
    <w:rsid w:val="569D7B8C"/>
    <w:rsid w:val="63AF0C61"/>
    <w:rsid w:val="70D604B6"/>
    <w:rsid w:val="732A747F"/>
    <w:rsid w:val="76A74E38"/>
    <w:rsid w:val="7E062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2024-04-25T06:21:48Z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