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eastAsia="方正小标宋_GBK" w:cs="宋体" w:asciiTheme="majorAscii" w:hAnsiTheme="majorAscii"/>
          <w:bCs/>
          <w:kern w:val="0"/>
          <w:sz w:val="44"/>
          <w:szCs w:val="44"/>
          <w:lang w:eastAsia="zh-CN"/>
        </w:rPr>
      </w:pPr>
      <w:r>
        <w:rPr>
          <w:rFonts w:hint="default" w:eastAsia="方正小标宋_GBK" w:cs="宋体" w:asciiTheme="majorAscii" w:hAnsiTheme="majorAscii"/>
          <w:bCs/>
          <w:kern w:val="0"/>
          <w:sz w:val="44"/>
          <w:szCs w:val="44"/>
          <w:lang w:eastAsia="zh-CN"/>
        </w:rPr>
        <w:t>玉田县科学技术协会</w:t>
      </w:r>
    </w:p>
    <w:p>
      <w:pPr>
        <w:widowControl/>
        <w:spacing w:line="600" w:lineRule="exact"/>
        <w:jc w:val="center"/>
        <w:rPr>
          <w:rFonts w:hint="default" w:eastAsia="黑体" w:cs="黑体" w:asciiTheme="majorAscii" w:hAnsiTheme="majorAscii"/>
          <w:bCs/>
          <w:kern w:val="0"/>
          <w:sz w:val="44"/>
          <w:szCs w:val="44"/>
          <w:lang w:eastAsia="zh-CN"/>
        </w:rPr>
      </w:pPr>
      <w:r>
        <w:rPr>
          <w:rFonts w:hint="default" w:eastAsia="黑体" w:cs="黑体" w:asciiTheme="majorAscii" w:hAnsiTheme="majorAscii"/>
          <w:i w:val="0"/>
          <w:iCs w:val="0"/>
          <w:color w:val="000000"/>
          <w:kern w:val="0"/>
          <w:sz w:val="44"/>
          <w:szCs w:val="44"/>
          <w:u w:val="none"/>
          <w:lang w:val="en-US" w:eastAsia="zh-CN" w:bidi="ar"/>
        </w:rPr>
        <w:t>冀财教【2022】166号2023年支持市县科技创新和科学普及专项资金</w:t>
      </w:r>
    </w:p>
    <w:p>
      <w:pPr>
        <w:widowControl/>
        <w:spacing w:line="600" w:lineRule="exact"/>
        <w:jc w:val="center"/>
        <w:rPr>
          <w:rFonts w:hint="default" w:eastAsia="方正小标宋_GBK" w:cs="宋体" w:asciiTheme="majorAscii" w:hAnsiTheme="majorAscii"/>
          <w:bCs/>
          <w:kern w:val="0"/>
          <w:sz w:val="44"/>
          <w:szCs w:val="44"/>
        </w:rPr>
      </w:pPr>
      <w:r>
        <w:rPr>
          <w:rFonts w:hint="default" w:eastAsia="方正小标宋_GBK" w:cs="宋体" w:asciiTheme="majorAscii" w:hAnsiTheme="majorAscii"/>
          <w:bCs/>
          <w:kern w:val="0"/>
          <w:sz w:val="44"/>
          <w:szCs w:val="44"/>
        </w:rPr>
        <w:t>项目支出绩效评价报告</w:t>
      </w:r>
    </w:p>
    <w:p>
      <w:pPr>
        <w:spacing w:line="600" w:lineRule="exact"/>
        <w:ind w:firstLine="960" w:firstLineChars="3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_GB2312" w:eastAsia="仿宋_GB2312"/>
          <w:sz w:val="32"/>
          <w:szCs w:val="32"/>
        </w:rPr>
        <w:t>（一）项目概况。</w:t>
      </w:r>
      <w:r>
        <w:rPr>
          <w:rFonts w:hint="eastAsia" w:ascii="Times New Roman" w:hAnsi="Times New Roman" w:eastAsia="仿宋"/>
          <w:sz w:val="32"/>
          <w:szCs w:val="32"/>
        </w:rPr>
        <w:t>成立评估组织。评估组成员：</w:t>
      </w:r>
      <w:r>
        <w:rPr>
          <w:rFonts w:hint="eastAsia" w:eastAsia="仿宋"/>
          <w:sz w:val="32"/>
          <w:szCs w:val="32"/>
          <w:lang w:eastAsia="zh-CN"/>
        </w:rPr>
        <w:t>科协</w:t>
      </w:r>
      <w:r>
        <w:rPr>
          <w:rFonts w:hint="eastAsia" w:ascii="Times New Roman" w:hAnsi="Times New Roman" w:eastAsia="仿宋"/>
          <w:sz w:val="32"/>
          <w:szCs w:val="32"/>
        </w:rPr>
        <w:t>主要领导、相关业务科室负责人、业务人员。制定评估方案。</w:t>
      </w:r>
      <w:r>
        <w:rPr>
          <w:rFonts w:hint="eastAsia" w:ascii="仿宋_GB2312" w:eastAsia="仿宋_GB2312"/>
          <w:sz w:val="32"/>
          <w:szCs w:val="32"/>
          <w:lang w:eastAsia="zh-CN"/>
        </w:rPr>
        <w:t>县科协</w:t>
      </w:r>
      <w:r>
        <w:rPr>
          <w:rFonts w:hint="eastAsia" w:ascii="仿宋" w:hAnsi="仿宋" w:eastAsia="仿宋" w:cs="仿宋"/>
          <w:color w:val="000000"/>
          <w:sz w:val="32"/>
          <w:szCs w:val="32"/>
        </w:rPr>
        <w:t>20</w:t>
      </w:r>
      <w:r>
        <w:rPr>
          <w:rFonts w:hint="eastAsia" w:ascii="仿宋" w:hAnsi="仿宋" w:eastAsia="仿宋" w:cs="仿宋"/>
          <w:color w:val="000000"/>
          <w:sz w:val="32"/>
          <w:szCs w:val="32"/>
          <w:lang w:val="en-US" w:eastAsia="zh-CN"/>
        </w:rPr>
        <w:t>23</w:t>
      </w:r>
      <w:r>
        <w:rPr>
          <w:rFonts w:hint="eastAsia" w:ascii="仿宋" w:hAnsi="仿宋" w:eastAsia="仿宋" w:cs="仿宋"/>
          <w:color w:val="000000"/>
          <w:sz w:val="32"/>
          <w:szCs w:val="32"/>
        </w:rPr>
        <w:t>年</w:t>
      </w:r>
      <w:r>
        <w:rPr>
          <w:rFonts w:hint="eastAsia" w:ascii="仿宋" w:hAnsi="仿宋" w:eastAsia="仿宋" w:cs="仿宋"/>
          <w:i w:val="0"/>
          <w:iCs w:val="0"/>
          <w:color w:val="000000"/>
          <w:kern w:val="0"/>
          <w:sz w:val="32"/>
          <w:szCs w:val="32"/>
          <w:u w:val="none"/>
          <w:lang w:val="en-US" w:eastAsia="zh-CN" w:bidi="ar"/>
        </w:rPr>
        <w:t>冀财教【2022】166号2023年支持市县科技创新和科学普及专项资金</w:t>
      </w:r>
      <w:r>
        <w:rPr>
          <w:rFonts w:hint="eastAsia" w:ascii="仿宋" w:hAnsi="仿宋" w:eastAsia="仿宋" w:cs="仿宋"/>
          <w:color w:val="000000"/>
          <w:sz w:val="32"/>
          <w:szCs w:val="32"/>
        </w:rPr>
        <w:t>安排资金</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，主要用于领导科技馆展出。</w:t>
      </w:r>
    </w:p>
    <w:p>
      <w:pPr>
        <w:rPr>
          <w:rFonts w:hint="eastAsia" w:ascii="仿宋_GB2312" w:eastAsia="仿宋_GB2312"/>
          <w:sz w:val="32"/>
          <w:szCs w:val="32"/>
        </w:rPr>
      </w:pPr>
      <w:r>
        <w:rPr>
          <w:rFonts w:hint="eastAsia" w:ascii="仿宋_GB2312" w:eastAsia="仿宋_GB2312"/>
          <w:sz w:val="32"/>
          <w:szCs w:val="32"/>
        </w:rPr>
        <w:t>（二）项目绩效目标。</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展共展出的科普设备48台套，还有 VR，以及机器人表演等。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2．通过科学探索、科学实践、科普影视等形式相结合，给我县公众带来了精彩的展览、有趣的活动和难忘的科学体验，让更多公众参与到学科学、爱科学、用科学的行动中来。经过2个月的巡展，计划招募</w:t>
      </w:r>
      <w:r>
        <w:rPr>
          <w:rFonts w:hint="eastAsia" w:ascii="仿宋" w:hAnsi="仿宋" w:eastAsia="仿宋" w:cs="仿宋"/>
          <w:sz w:val="32"/>
          <w:szCs w:val="32"/>
          <w:lang w:val="en-US" w:eastAsia="zh-CN"/>
        </w:rPr>
        <w:t>7000</w:t>
      </w:r>
      <w:r>
        <w:rPr>
          <w:rFonts w:hint="eastAsia" w:ascii="仿宋" w:hAnsi="仿宋" w:eastAsia="仿宋" w:cs="仿宋"/>
          <w:sz w:val="32"/>
          <w:szCs w:val="32"/>
        </w:rPr>
        <w:t>余名青少年学生和</w:t>
      </w:r>
      <w:r>
        <w:rPr>
          <w:rFonts w:hint="eastAsia" w:ascii="仿宋" w:hAnsi="仿宋" w:eastAsia="仿宋" w:cs="仿宋"/>
          <w:sz w:val="32"/>
          <w:szCs w:val="32"/>
          <w:lang w:val="en-US" w:eastAsia="zh-CN"/>
        </w:rPr>
        <w:t>2000</w:t>
      </w:r>
      <w:r>
        <w:rPr>
          <w:rFonts w:hint="eastAsia" w:ascii="仿宋" w:hAnsi="仿宋" w:eastAsia="仿宋" w:cs="仿宋"/>
          <w:sz w:val="32"/>
          <w:szCs w:val="32"/>
        </w:rPr>
        <w:t>多市民参观体验。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pStyle w:val="4"/>
        <w:keepNext w:val="0"/>
        <w:keepLines w:val="0"/>
        <w:pageBreakBefore w:val="0"/>
        <w:widowControl/>
        <w:numPr>
          <w:ilvl w:val="0"/>
          <w:numId w:val="1"/>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根据文件要求，绩效运行监控范围为预算单位2023年度部门预算项目支出开展绩效运行监控。</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leftChars="200" w:firstLine="640" w:firstLineChars="200"/>
        <w:rPr>
          <w:rFonts w:ascii="仿宋_GB2312" w:eastAsia="仿宋_GB2312"/>
          <w:sz w:val="32"/>
          <w:szCs w:val="32"/>
        </w:rPr>
      </w:pPr>
      <w:r>
        <w:rPr>
          <w:rFonts w:hint="eastAsia" w:ascii="仿宋_GB2312" w:eastAsia="仿宋_GB2312"/>
          <w:sz w:val="32"/>
          <w:szCs w:val="32"/>
        </w:rPr>
        <w:t>为了提高绩效运行监控工作质量和效率，成立了绩效运行监控工作小组，小组办公室设在财务室，全面负责本次绩效监控工作。组织项目实施</w:t>
      </w:r>
      <w:r>
        <w:rPr>
          <w:rFonts w:hint="eastAsia" w:ascii="仿宋_GB2312" w:eastAsia="仿宋_GB2312"/>
          <w:sz w:val="32"/>
          <w:szCs w:val="32"/>
          <w:lang w:eastAsia="zh-CN"/>
        </w:rPr>
        <w:t>科</w:t>
      </w:r>
      <w:r>
        <w:rPr>
          <w:rFonts w:hint="eastAsia" w:ascii="仿宋_GB2312" w:eastAsia="仿宋_GB2312"/>
          <w:sz w:val="32"/>
          <w:szCs w:val="32"/>
        </w:rPr>
        <w:t>室学习文件，了解绩效运行监控工作流程，明确工作责任，工作小组将绩效运行监控工作进行分解，对绩效监控过程进行指导和监督。加强沟通配合，工作小组指导</w:t>
      </w:r>
      <w:r>
        <w:rPr>
          <w:rFonts w:hint="eastAsia" w:ascii="仿宋_GB2312" w:eastAsia="仿宋_GB2312"/>
          <w:sz w:val="32"/>
          <w:szCs w:val="32"/>
          <w:lang w:eastAsia="zh-CN"/>
        </w:rPr>
        <w:t>科</w:t>
      </w:r>
      <w:r>
        <w:rPr>
          <w:rFonts w:hint="eastAsia" w:ascii="仿宋_GB2312" w:eastAsia="仿宋_GB2312"/>
          <w:sz w:val="32"/>
          <w:szCs w:val="32"/>
        </w:rPr>
        <w:t>室认真收集、整理相关资料，填写项目支出绩效目标执行监控表，要求对偏差原因进行分析说明，对绩效目标完成情况进行预计。按照“谁支出、谁监控”原则，组织项目实施科室对照绩效目标，对所负责预算批复的项目绩效目标完成情况进行监控。</w:t>
      </w:r>
      <w:r>
        <w:rPr>
          <w:rFonts w:hint="eastAsia" w:ascii="仿宋" w:hAnsi="仿宋" w:eastAsia="仿宋"/>
          <w:sz w:val="32"/>
          <w:szCs w:val="32"/>
        </w:rPr>
        <w:t>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eastAsia="黑体"/>
          <w:sz w:val="32"/>
          <w:szCs w:val="32"/>
        </w:rPr>
      </w:pPr>
      <w:r>
        <w:rPr>
          <w:rFonts w:hint="eastAsia" w:ascii="仿宋" w:hAnsi="仿宋" w:eastAsia="仿宋"/>
          <w:color w:val="000000"/>
          <w:kern w:val="0"/>
          <w:sz w:val="32"/>
          <w:szCs w:val="32"/>
        </w:rPr>
        <w:t>通过对绩效实施的具体情况进行自我评价，</w:t>
      </w:r>
      <w:r>
        <w:rPr>
          <w:rFonts w:hint="eastAsia" w:ascii="仿宋" w:hAnsi="仿宋" w:eastAsia="仿宋"/>
          <w:color w:val="000000"/>
          <w:kern w:val="0"/>
          <w:sz w:val="32"/>
          <w:szCs w:val="32"/>
          <w:lang w:val="en-US" w:eastAsia="zh-CN"/>
        </w:rPr>
        <w:t>2023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r>
        <w:rPr>
          <w:rFonts w:hint="eastAsia" w:ascii="仿宋" w:hAnsi="仿宋" w:eastAsia="仿宋"/>
          <w:color w:val="000000"/>
          <w:kern w:val="0"/>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根据上级安排，我单位项目资金</w:t>
      </w:r>
      <w:r>
        <w:rPr>
          <w:rFonts w:hint="eastAsia" w:ascii="仿宋_GB2312" w:eastAsia="仿宋_GB2312"/>
          <w:sz w:val="32"/>
          <w:szCs w:val="32"/>
          <w:lang w:val="en-US" w:eastAsia="zh-CN"/>
        </w:rPr>
        <w:t>6万元。</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 w:hAnsi="仿宋" w:eastAsia="仿宋" w:cs="Times New Roman"/>
          <w:kern w:val="2"/>
          <w:sz w:val="30"/>
          <w:szCs w:val="32"/>
          <w:lang w:val="en-US" w:eastAsia="zh-CN" w:bidi="ar-SA"/>
        </w:rPr>
        <w:t>预算为6万元，项目资金到位率为100%。</w:t>
      </w:r>
      <w:r>
        <w:rPr>
          <w:rFonts w:hint="eastAsia" w:ascii="仿宋" w:hAnsi="仿宋" w:eastAsia="仿宋"/>
          <w:color w:val="000000"/>
          <w:kern w:val="0"/>
          <w:sz w:val="32"/>
          <w:szCs w:val="32"/>
        </w:rPr>
        <w:t>根据年初制定</w:t>
      </w:r>
      <w:r>
        <w:rPr>
          <w:rFonts w:hint="eastAsia" w:ascii="仿宋" w:hAnsi="仿宋" w:eastAsia="仿宋"/>
          <w:color w:val="000000"/>
          <w:kern w:val="0"/>
          <w:sz w:val="32"/>
          <w:szCs w:val="32"/>
          <w:lang w:val="en-US" w:eastAsia="zh-CN"/>
        </w:rPr>
        <w:t>的项目</w:t>
      </w:r>
      <w:r>
        <w:rPr>
          <w:rFonts w:hint="eastAsia" w:ascii="仿宋" w:hAnsi="仿宋" w:eastAsia="仿宋"/>
          <w:color w:val="000000"/>
          <w:kern w:val="0"/>
          <w:sz w:val="32"/>
          <w:szCs w:val="32"/>
        </w:rPr>
        <w:t>绩效目标，</w:t>
      </w:r>
      <w:r>
        <w:rPr>
          <w:rFonts w:hint="eastAsia" w:ascii="仿宋" w:hAnsi="仿宋" w:eastAsia="仿宋"/>
          <w:color w:val="000000"/>
          <w:kern w:val="0"/>
          <w:sz w:val="32"/>
          <w:szCs w:val="32"/>
          <w:lang w:val="en-US" w:eastAsia="zh-CN"/>
        </w:rPr>
        <w:t>对全年的活动计划</w:t>
      </w:r>
      <w:r>
        <w:rPr>
          <w:rFonts w:hint="eastAsia" w:ascii="仿宋" w:hAnsi="仿宋" w:eastAsia="仿宋"/>
          <w:color w:val="000000"/>
          <w:kern w:val="0"/>
          <w:sz w:val="32"/>
          <w:szCs w:val="32"/>
        </w:rPr>
        <w:t>进行了任务分解。严格按照既定方案和计划组织实施，确保专款专用。严格遵守各项规章制度，按计划开展</w:t>
      </w:r>
      <w:r>
        <w:rPr>
          <w:rFonts w:hint="eastAsia" w:ascii="仿宋" w:hAnsi="仿宋" w:eastAsia="仿宋"/>
          <w:color w:val="000000"/>
          <w:kern w:val="0"/>
          <w:sz w:val="32"/>
          <w:szCs w:val="32"/>
          <w:lang w:val="en-US" w:eastAsia="zh-CN"/>
        </w:rPr>
        <w:t>活动，及时组织开展成效验收评估，确保活动开展到哪里，项目资金就跟进到哪里</w:t>
      </w:r>
      <w:r>
        <w:rPr>
          <w:rFonts w:hint="eastAsia" w:ascii="仿宋" w:hAnsi="仿宋" w:eastAsia="仿宋"/>
          <w:color w:val="000000"/>
          <w:kern w:val="0"/>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活动的开展为我县青少年零距离接触科学、体验科技、开阔眼界、增长知识搭建了平台，通过青少年亲自观看、体验，真正感受到了科技所带来的魅力，科技所带来的快乐、科技所带来的改变，激发了我县青少年对知识的渴望，对科学的热爱，让青少年懂得去思考，去探索。此次巡展活动，有效弥补了我县科普资源空间缺口，改善了科普阵地相对薄弱的现状，为更多青少年、社会公众提供了参与科普的机会，对推动我县青少年科技活动蓬勃开展，提高青少年科学素质起到了重要作用。</w:t>
      </w:r>
    </w:p>
    <w:p>
      <w:pPr>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 w:hAnsi="仿宋" w:eastAsia="仿宋" w:cs="仿宋"/>
          <w:sz w:val="32"/>
          <w:szCs w:val="32"/>
        </w:rPr>
        <w:t>能让我县居民以最低的成本享受高端的科普产品。此次巡展活动以"体验科学"为主题，让学生零距离接触科学，得到各界一致好评。弥补了我县科学资源短缺和陈地薄弱现状，强化科普进校园力度，提高了青少年科学素质作用。项目实施完成后观众满意度100%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主要经验及做法。</w:t>
      </w:r>
      <w:r>
        <w:rPr>
          <w:rFonts w:hint="eastAsia" w:ascii="仿宋" w:hAnsi="仿宋" w:eastAsia="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二</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存在的问题及原因分析</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一是</w:t>
      </w:r>
      <w:r>
        <w:rPr>
          <w:rFonts w:hint="eastAsia" w:ascii="仿宋" w:hAnsi="仿宋" w:eastAsia="仿宋"/>
          <w:color w:val="000000"/>
          <w:kern w:val="0"/>
          <w:sz w:val="32"/>
          <w:szCs w:val="32"/>
        </w:rPr>
        <w:t>对于绩效运行监控的认识不够深</w:t>
      </w:r>
      <w:bookmarkStart w:id="0" w:name="_GoBack"/>
      <w:bookmarkEnd w:id="0"/>
      <w:r>
        <w:rPr>
          <w:rFonts w:hint="eastAsia" w:ascii="仿宋" w:hAnsi="仿宋" w:eastAsia="仿宋"/>
          <w:color w:val="000000"/>
          <w:kern w:val="0"/>
          <w:sz w:val="32"/>
          <w:szCs w:val="32"/>
        </w:rPr>
        <w:t>入，把项目支出绩效简单等同于工作目标、工作考核和业务管理。</w:t>
      </w:r>
      <w:r>
        <w:rPr>
          <w:rFonts w:hint="eastAsia" w:ascii="仿宋" w:hAnsi="仿宋" w:eastAsia="仿宋"/>
          <w:color w:val="000000"/>
          <w:kern w:val="0"/>
          <w:sz w:val="32"/>
          <w:szCs w:val="32"/>
          <w:lang w:val="en-US" w:eastAsia="zh-CN"/>
        </w:rPr>
        <w:t>二是</w:t>
      </w:r>
      <w:r>
        <w:rPr>
          <w:rFonts w:hint="eastAsia" w:ascii="仿宋" w:hAnsi="仿宋" w:eastAsia="仿宋"/>
          <w:color w:val="000000"/>
          <w:kern w:val="0"/>
          <w:sz w:val="32"/>
          <w:szCs w:val="32"/>
        </w:rPr>
        <w:t>绩效目标和指标往往根据项目实际完成情况制定，对项目执行过程有效约束不够，存在一定的偏差。</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spacing w:line="600" w:lineRule="exact"/>
        <w:rPr>
          <w:rFonts w:eastAsia="黑体"/>
          <w:sz w:val="32"/>
          <w:szCs w:val="32"/>
        </w:rPr>
      </w:pP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eastAsia" w:eastAsia="黑体"/>
          <w:sz w:val="32"/>
          <w:szCs w:val="32"/>
          <w:lang w:eastAsia="zh-CN"/>
        </w:rPr>
      </w:pPr>
      <w:r>
        <w:rPr>
          <w:rFonts w:hint="eastAsia" w:eastAsia="黑体"/>
          <w:sz w:val="32"/>
          <w:szCs w:val="32"/>
          <w:lang w:eastAsia="zh-CN"/>
        </w:rPr>
        <w:t>无</w:t>
      </w: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BatangChe">
    <w:panose1 w:val="02030609000101010101"/>
    <w:charset w:val="81"/>
    <w:family w:val="auto"/>
    <w:pitch w:val="default"/>
    <w:sig w:usb0="B00002AF" w:usb1="69D77CFB" w:usb2="00000030" w:usb3="00000000" w:csb0="4008009F" w:csb1="DFD7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516AD"/>
    <w:multiLevelType w:val="singleLevel"/>
    <w:tmpl w:val="BEC516AD"/>
    <w:lvl w:ilvl="0" w:tentative="0">
      <w:start w:val="3"/>
      <w:numFmt w:val="chineseCounting"/>
      <w:suff w:val="nothing"/>
      <w:lvlText w:val="%1、"/>
      <w:lvlJc w:val="left"/>
      <w:rPr>
        <w:rFonts w:hint="eastAsia"/>
      </w:rPr>
    </w:lvl>
  </w:abstractNum>
  <w:abstractNum w:abstractNumId="1">
    <w:nsid w:val="C9A1A1AF"/>
    <w:multiLevelType w:val="singleLevel"/>
    <w:tmpl w:val="C9A1A1AF"/>
    <w:lvl w:ilvl="0" w:tentative="0">
      <w:start w:val="6"/>
      <w:numFmt w:val="chineseCounting"/>
      <w:suff w:val="nothing"/>
      <w:lvlText w:val="%1、"/>
      <w:lvlJc w:val="left"/>
      <w:rPr>
        <w:rFonts w:hint="eastAsia"/>
      </w:rPr>
    </w:lvl>
  </w:abstractNum>
  <w:abstractNum w:abstractNumId="2">
    <w:nsid w:val="720903D7"/>
    <w:multiLevelType w:val="singleLevel"/>
    <w:tmpl w:val="720903D7"/>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5B58E2"/>
    <w:rsid w:val="0FD13331"/>
    <w:rsid w:val="15E708FE"/>
    <w:rsid w:val="44787793"/>
    <w:rsid w:val="4595474B"/>
    <w:rsid w:val="49D67DF9"/>
    <w:rsid w:val="51B84391"/>
    <w:rsid w:val="51D879E2"/>
    <w:rsid w:val="63AF0C61"/>
    <w:rsid w:val="705A27FE"/>
    <w:rsid w:val="78674E18"/>
    <w:rsid w:val="78D05187"/>
    <w:rsid w:val="7F907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2024-04-25T07:55:42Z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