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玉田县科学技术协会</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冀财教【2021】172号2022年省级支持市县科技创新和科学普及专项资金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w:t>
      </w:r>
      <w:r>
        <w:rPr>
          <w:rFonts w:hint="eastAsia" w:ascii="仿宋" w:hAnsi="仿宋" w:eastAsia="仿宋" w:cs="仿宋"/>
          <w:sz w:val="32"/>
          <w:szCs w:val="32"/>
        </w:rPr>
        <w:t>中共玉田县委玉田县人民政府关于全面实施预算绩效管理的实施意见</w:t>
      </w:r>
      <w:r>
        <w:rPr>
          <w:rFonts w:hint="eastAsia" w:ascii="仿宋" w:hAnsi="仿宋" w:eastAsia="仿宋" w:cs="仿宋"/>
          <w:sz w:val="32"/>
          <w:szCs w:val="32"/>
          <w:lang w:eastAsia="zh-CN"/>
        </w:rPr>
        <w:t>》（</w:t>
      </w:r>
      <w:r>
        <w:rPr>
          <w:rFonts w:hint="eastAsia" w:ascii="仿宋" w:hAnsi="仿宋" w:eastAsia="仿宋" w:cs="仿宋"/>
          <w:sz w:val="32"/>
          <w:szCs w:val="32"/>
        </w:rPr>
        <w:t>玉发【2019】7号</w:t>
      </w:r>
      <w:r>
        <w:rPr>
          <w:rFonts w:hint="eastAsia" w:ascii="仿宋" w:hAnsi="仿宋" w:eastAsia="仿宋" w:cs="仿宋"/>
          <w:sz w:val="32"/>
          <w:szCs w:val="32"/>
          <w:lang w:eastAsia="zh-CN"/>
        </w:rPr>
        <w:t>）</w:t>
      </w:r>
      <w:r>
        <w:rPr>
          <w:rFonts w:hint="eastAsia" w:ascii="仿宋" w:hAnsi="仿宋" w:eastAsia="仿宋" w:cs="仿宋"/>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 w:hAnsi="仿宋" w:eastAsia="仿宋" w:cs="仿宋"/>
          <w:sz w:val="32"/>
          <w:szCs w:val="32"/>
          <w:lang w:eastAsia="zh-CN"/>
        </w:rPr>
        <w:t>部门</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年项目支出进行了绩效评价。现将有关情况报告如下：</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一、基本情况</w:t>
      </w:r>
    </w:p>
    <w:p>
      <w:pPr>
        <w:numPr>
          <w:ilvl w:val="0"/>
          <w:numId w:val="0"/>
        </w:numPr>
        <w:ind w:firstLine="640" w:firstLineChars="200"/>
        <w:rPr>
          <w:rFonts w:hint="eastAsia" w:ascii="仿宋" w:hAnsi="仿宋" w:eastAsia="仿宋" w:cs="仿宋"/>
          <w:sz w:val="32"/>
          <w:szCs w:val="32"/>
          <w:lang w:val="en-US"/>
        </w:rPr>
      </w:pPr>
      <w:r>
        <w:rPr>
          <w:rFonts w:hint="eastAsia" w:ascii="仿宋" w:hAnsi="仿宋" w:eastAsia="仿宋" w:cs="仿宋"/>
          <w:sz w:val="32"/>
          <w:szCs w:val="32"/>
        </w:rPr>
        <w:t>（一）项目概况。</w:t>
      </w:r>
      <w:r>
        <w:rPr>
          <w:rFonts w:hint="eastAsia" w:ascii="仿宋" w:hAnsi="仿宋" w:eastAsia="仿宋" w:cs="仿宋"/>
          <w:sz w:val="32"/>
          <w:szCs w:val="32"/>
          <w:lang w:val="en-US" w:eastAsia="zh-CN"/>
        </w:rPr>
        <w:t>玉田县科学技术协会是在玉田县委领导下的群团组织，现有事业编制（参公）人员5人，下设办公室、科普部两个科室。坚持为科技工作者服务、为创新驱动发展服务、为提高全民科学素质服务、为党和政府科学决策服务的职责定位，依托科普教育基地等阵地，围绕健康生活、低碳减排、垃圾分类、应急处置、食品安全等，以线上线下相结合的方式，每年开展科学体验、科技培训、科普讲座等活动100余场次。</w:t>
      </w:r>
    </w:p>
    <w:p>
      <w:pPr>
        <w:numPr>
          <w:ilvl w:val="0"/>
          <w:numId w:val="1"/>
        </w:numPr>
        <w:jc w:val="left"/>
        <w:rPr>
          <w:rFonts w:hint="eastAsia" w:ascii="仿宋" w:hAnsi="仿宋" w:eastAsia="仿宋" w:cs="仿宋"/>
          <w:sz w:val="32"/>
          <w:szCs w:val="32"/>
        </w:rPr>
      </w:pPr>
      <w:r>
        <w:rPr>
          <w:rFonts w:hint="eastAsia" w:ascii="仿宋" w:hAnsi="仿宋" w:eastAsia="仿宋" w:cs="仿宋"/>
          <w:sz w:val="32"/>
          <w:szCs w:val="32"/>
        </w:rPr>
        <w:t>项目绩效目标。</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1、为企业解决技术难题或引进新品种、新技术5个。</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2、线下或线上培训不低于10场次，受训人员不低于300人次。</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3、建立企业科技工作者之家10家。</w:t>
      </w:r>
    </w:p>
    <w:p>
      <w:pPr>
        <w:jc w:val="left"/>
        <w:rPr>
          <w:rFonts w:hint="eastAsia" w:ascii="仿宋" w:hAnsi="仿宋" w:eastAsia="仿宋" w:cs="仿宋"/>
          <w:sz w:val="32"/>
          <w:szCs w:val="32"/>
        </w:rPr>
      </w:pPr>
      <w:r>
        <w:rPr>
          <w:rFonts w:hint="eastAsia" w:ascii="仿宋" w:hAnsi="仿宋" w:eastAsia="仿宋" w:cs="仿宋"/>
          <w:b w:val="0"/>
          <w:bCs w:val="0"/>
          <w:sz w:val="32"/>
          <w:szCs w:val="32"/>
          <w:lang w:val="en-US" w:eastAsia="zh-CN"/>
        </w:rPr>
        <w:t>4、开设玉田县科技服务中心公众号。</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二、绩效评价工作开展情况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（一）绩效评价工作过程。</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1、准备阶段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rPr>
        <w:t>2、实施阶段</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3、评价阶段 </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绩效评价目的、对象和范围。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根据文件要求，绩效运行监控范围为预算单位2023年度部门预算项目支出开展绩效运行监控。</w:t>
      </w:r>
    </w:p>
    <w:p>
      <w:pPr>
        <w:spacing w:line="600" w:lineRule="exact"/>
        <w:ind w:firstLine="640" w:firstLineChars="200"/>
        <w:rPr>
          <w:rFonts w:hint="eastAsia" w:ascii="仿宋" w:hAnsi="仿宋" w:eastAsia="仿宋" w:cs="仿宋"/>
          <w:b/>
          <w:bCs/>
          <w:sz w:val="32"/>
          <w:szCs w:val="32"/>
        </w:rPr>
      </w:pPr>
      <w:r>
        <w:rPr>
          <w:rFonts w:hint="eastAsia" w:ascii="仿宋" w:hAnsi="仿宋" w:eastAsia="仿宋" w:cs="仿宋"/>
          <w:sz w:val="32"/>
          <w:szCs w:val="32"/>
        </w:rPr>
        <w:t>（三）</w:t>
      </w:r>
      <w:r>
        <w:rPr>
          <w:rFonts w:hint="eastAsia" w:ascii="仿宋" w:hAnsi="仿宋" w:eastAsia="仿宋" w:cs="仿宋"/>
          <w:b/>
          <w:bCs/>
          <w:sz w:val="32"/>
          <w:szCs w:val="32"/>
        </w:rPr>
        <w:t>绩效评价原则、评价指标体系（附表说明）、评价方法、评价标准等。</w:t>
      </w:r>
    </w:p>
    <w:p>
      <w:pPr>
        <w:numPr>
          <w:ilvl w:val="0"/>
          <w:numId w:val="0"/>
        </w:num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为了提高绩效运行监控工作质量和效率，成立了绩效运行监控工作小组，小组办公室设在财务室，全面负责本次绩效监控工作。组织项目实施</w:t>
      </w:r>
      <w:r>
        <w:rPr>
          <w:rFonts w:hint="eastAsia" w:ascii="仿宋" w:hAnsi="仿宋" w:eastAsia="仿宋" w:cs="仿宋"/>
          <w:sz w:val="32"/>
          <w:szCs w:val="32"/>
          <w:lang w:eastAsia="zh-CN"/>
        </w:rPr>
        <w:t>科</w:t>
      </w:r>
      <w:r>
        <w:rPr>
          <w:rFonts w:hint="eastAsia" w:ascii="仿宋" w:hAnsi="仿宋" w:eastAsia="仿宋" w:cs="仿宋"/>
          <w:sz w:val="32"/>
          <w:szCs w:val="32"/>
        </w:rPr>
        <w:t>室学习文件，了解绩效运行监控工作流程，明确工作责任，工作小组将绩效运行监控工作进行分解，对绩效监控过程进行指导和监督。加强沟通配合，工作小组指导</w:t>
      </w:r>
      <w:r>
        <w:rPr>
          <w:rFonts w:hint="eastAsia" w:ascii="仿宋" w:hAnsi="仿宋" w:eastAsia="仿宋" w:cs="仿宋"/>
          <w:sz w:val="32"/>
          <w:szCs w:val="32"/>
          <w:lang w:eastAsia="zh-CN"/>
        </w:rPr>
        <w:t>科</w:t>
      </w:r>
      <w:r>
        <w:rPr>
          <w:rFonts w:hint="eastAsia" w:ascii="仿宋" w:hAnsi="仿宋" w:eastAsia="仿宋" w:cs="仿宋"/>
          <w:sz w:val="32"/>
          <w:szCs w:val="32"/>
        </w:rPr>
        <w:t>室认真收集、整理相关资料，填写项目支出绩效目标执行监控表，要求对偏差原因进行分析说明，对绩效目标完成情况进行预计。按照“谁支出、谁监控”原则，组织项目实施科室对照绩效目标，对所负责预算批复的项目绩效目标完成情况进行监控。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过后，形成正式绩效评价报告</w:t>
      </w:r>
      <w:r>
        <w:rPr>
          <w:rFonts w:hint="eastAsia" w:ascii="仿宋" w:hAnsi="仿宋" w:eastAsia="仿宋" w:cs="仿宋"/>
          <w:sz w:val="32"/>
          <w:szCs w:val="32"/>
          <w:lang w:eastAsia="zh-CN"/>
        </w:rPr>
        <w:t>。</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三、综合评价情况及评价结论</w:t>
      </w:r>
    </w:p>
    <w:p>
      <w:pPr>
        <w:numPr>
          <w:ilvl w:val="0"/>
          <w:numId w:val="0"/>
        </w:numPr>
        <w:spacing w:line="600" w:lineRule="exact"/>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通过对绩效实施的具体情况进行自我评价，</w:t>
      </w:r>
      <w:r>
        <w:rPr>
          <w:rFonts w:hint="eastAsia" w:ascii="仿宋" w:hAnsi="仿宋" w:eastAsia="仿宋" w:cs="仿宋"/>
          <w:color w:val="000000"/>
          <w:kern w:val="0"/>
          <w:sz w:val="32"/>
          <w:szCs w:val="32"/>
          <w:lang w:val="en-US" w:eastAsia="zh-CN"/>
        </w:rPr>
        <w:t>2023</w:t>
      </w:r>
      <w:r>
        <w:rPr>
          <w:rFonts w:hint="eastAsia" w:ascii="仿宋" w:hAnsi="仿宋" w:eastAsia="仿宋" w:cs="仿宋"/>
          <w:color w:val="000000"/>
          <w:kern w:val="0"/>
          <w:sz w:val="32"/>
          <w:szCs w:val="32"/>
        </w:rPr>
        <w:t>年预算编制科学，预算执行准确，合理的安排支出，节约了资金，保证了全年工作任务的完成。经认真研究得出绩效评价结果为“优”</w:t>
      </w:r>
      <w:r>
        <w:rPr>
          <w:rFonts w:hint="eastAsia" w:ascii="仿宋" w:hAnsi="仿宋" w:eastAsia="仿宋" w:cs="仿宋"/>
          <w:color w:val="000000"/>
          <w:kern w:val="0"/>
          <w:sz w:val="32"/>
          <w:szCs w:val="32"/>
          <w:lang w:eastAsia="zh-CN"/>
        </w:rPr>
        <w:t>。</w:t>
      </w:r>
    </w:p>
    <w:p>
      <w:pPr>
        <w:spacing w:line="600" w:lineRule="exact"/>
        <w:ind w:firstLine="640" w:firstLineChars="200"/>
        <w:rPr>
          <w:rFonts w:hint="eastAsia" w:ascii="仿宋" w:hAnsi="仿宋" w:eastAsia="仿宋" w:cs="仿宋"/>
          <w:sz w:val="32"/>
          <w:szCs w:val="32"/>
        </w:rPr>
      </w:pP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四、绩效评价指标分析</w:t>
      </w:r>
    </w:p>
    <w:p>
      <w:pPr>
        <w:spacing w:line="600" w:lineRule="exact"/>
        <w:ind w:firstLine="643" w:firstLineChars="200"/>
        <w:outlineLvl w:val="0"/>
        <w:rPr>
          <w:rFonts w:hint="eastAsia" w:ascii="仿宋" w:hAnsi="仿宋" w:eastAsia="仿宋" w:cs="仿宋"/>
          <w:sz w:val="32"/>
          <w:szCs w:val="32"/>
          <w:lang w:val="en-US" w:eastAsia="zh-CN"/>
        </w:rPr>
      </w:pPr>
      <w:r>
        <w:rPr>
          <w:rFonts w:hint="eastAsia" w:ascii="仿宋" w:hAnsi="仿宋" w:eastAsia="仿宋" w:cs="仿宋"/>
          <w:b/>
          <w:bCs/>
          <w:sz w:val="32"/>
          <w:szCs w:val="32"/>
        </w:rPr>
        <w:t>（一）项目决策情况。</w:t>
      </w:r>
      <w:r>
        <w:rPr>
          <w:rFonts w:hint="eastAsia" w:ascii="仿宋" w:hAnsi="仿宋" w:eastAsia="仿宋" w:cs="仿宋"/>
          <w:sz w:val="32"/>
          <w:szCs w:val="32"/>
          <w:lang w:eastAsia="zh-CN"/>
        </w:rPr>
        <w:t>根据上级安排，我单位项目资金</w:t>
      </w:r>
      <w:r>
        <w:rPr>
          <w:rFonts w:hint="eastAsia" w:ascii="仿宋" w:hAnsi="仿宋" w:eastAsia="仿宋" w:cs="仿宋"/>
          <w:sz w:val="32"/>
          <w:szCs w:val="32"/>
          <w:lang w:val="en-US" w:eastAsia="zh-CN"/>
        </w:rPr>
        <w:t>18.38万元。</w:t>
      </w:r>
    </w:p>
    <w:p>
      <w:pPr>
        <w:adjustRightInd w:val="0"/>
        <w:snapToGrid w:val="0"/>
        <w:spacing w:line="600" w:lineRule="exact"/>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rPr>
        <w:t>（二）项目过程情况</w:t>
      </w:r>
      <w:r>
        <w:rPr>
          <w:rFonts w:hint="eastAsia" w:ascii="仿宋" w:hAnsi="仿宋" w:eastAsia="仿宋" w:cs="仿宋"/>
          <w:sz w:val="32"/>
          <w:szCs w:val="32"/>
        </w:rPr>
        <w:t>。</w:t>
      </w:r>
      <w:r>
        <w:rPr>
          <w:rFonts w:hint="eastAsia" w:ascii="仿宋" w:hAnsi="仿宋" w:eastAsia="仿宋" w:cs="仿宋"/>
          <w:kern w:val="2"/>
          <w:sz w:val="32"/>
          <w:szCs w:val="32"/>
          <w:lang w:val="en-US" w:eastAsia="zh-CN" w:bidi="ar-SA"/>
        </w:rPr>
        <w:t>预算为18.38万元，项目资金到位率为100%。</w:t>
      </w:r>
      <w:r>
        <w:rPr>
          <w:rFonts w:hint="eastAsia" w:ascii="仿宋" w:hAnsi="仿宋" w:eastAsia="仿宋" w:cs="仿宋"/>
          <w:color w:val="000000"/>
          <w:kern w:val="0"/>
          <w:sz w:val="32"/>
          <w:szCs w:val="32"/>
        </w:rPr>
        <w:t>根据年初制定</w:t>
      </w:r>
      <w:r>
        <w:rPr>
          <w:rFonts w:hint="eastAsia" w:ascii="仿宋" w:hAnsi="仿宋" w:eastAsia="仿宋" w:cs="仿宋"/>
          <w:color w:val="000000"/>
          <w:kern w:val="0"/>
          <w:sz w:val="32"/>
          <w:szCs w:val="32"/>
          <w:lang w:val="en-US" w:eastAsia="zh-CN"/>
        </w:rPr>
        <w:t>的项目</w:t>
      </w:r>
      <w:r>
        <w:rPr>
          <w:rFonts w:hint="eastAsia" w:ascii="仿宋" w:hAnsi="仿宋" w:eastAsia="仿宋" w:cs="仿宋"/>
          <w:color w:val="000000"/>
          <w:kern w:val="0"/>
          <w:sz w:val="32"/>
          <w:szCs w:val="32"/>
        </w:rPr>
        <w:t>绩效目标，</w:t>
      </w:r>
      <w:r>
        <w:rPr>
          <w:rFonts w:hint="eastAsia" w:ascii="仿宋" w:hAnsi="仿宋" w:eastAsia="仿宋" w:cs="仿宋"/>
          <w:color w:val="000000"/>
          <w:kern w:val="0"/>
          <w:sz w:val="32"/>
          <w:szCs w:val="32"/>
          <w:lang w:val="en-US" w:eastAsia="zh-CN"/>
        </w:rPr>
        <w:t>对全年的活动计划</w:t>
      </w:r>
      <w:r>
        <w:rPr>
          <w:rFonts w:hint="eastAsia" w:ascii="仿宋" w:hAnsi="仿宋" w:eastAsia="仿宋" w:cs="仿宋"/>
          <w:color w:val="000000"/>
          <w:kern w:val="0"/>
          <w:sz w:val="32"/>
          <w:szCs w:val="32"/>
        </w:rPr>
        <w:t>进行了任务分解。严格按照既定方案和计划组织实施，确保专款专用。严格遵守各项规章制度，按计划开展</w:t>
      </w:r>
      <w:r>
        <w:rPr>
          <w:rFonts w:hint="eastAsia" w:ascii="仿宋" w:hAnsi="仿宋" w:eastAsia="仿宋" w:cs="仿宋"/>
          <w:color w:val="000000"/>
          <w:kern w:val="0"/>
          <w:sz w:val="32"/>
          <w:szCs w:val="32"/>
          <w:lang w:val="en-US" w:eastAsia="zh-CN"/>
        </w:rPr>
        <w:t>活动，及时组织开展成效验收评估，确保活动开展到哪里，项目资金就跟进到哪里</w:t>
      </w:r>
      <w:r>
        <w:rPr>
          <w:rFonts w:hint="eastAsia" w:ascii="仿宋" w:hAnsi="仿宋" w:eastAsia="仿宋" w:cs="仿宋"/>
          <w:color w:val="000000"/>
          <w:kern w:val="0"/>
          <w:sz w:val="32"/>
          <w:szCs w:val="32"/>
          <w:lang w:eastAsia="zh-CN"/>
        </w:rPr>
        <w:t>。</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b/>
          <w:bCs/>
          <w:sz w:val="32"/>
          <w:szCs w:val="32"/>
        </w:rPr>
        <w:t>（三）项目产出情况。</w:t>
      </w:r>
      <w:r>
        <w:rPr>
          <w:rFonts w:hint="eastAsia" w:ascii="仿宋" w:hAnsi="仿宋" w:eastAsia="仿宋" w:cs="仿宋"/>
          <w:sz w:val="32"/>
          <w:szCs w:val="32"/>
          <w:lang w:val="en-US" w:eastAsia="zh-CN"/>
        </w:rPr>
        <w:t>（（1）组织专场对接洽谈活动;</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邀请北京、省科协专家，视情况组织线上或线下专场对接洽谈活动，发挥科技资源优势，促进企业创新发展。</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（2）科技创新培训10场次;聘请省内外专家开展科技成果转化、职业发展与规划，创业培训课程（ SIYB ）就业实训、企业人力资源管理、安全生产知识等培训，提高企业科技创新和管理水平。</w:t>
      </w:r>
    </w:p>
    <w:p>
      <w:pPr>
        <w:numPr>
          <w:ilvl w:val="0"/>
          <w:numId w:val="0"/>
        </w:num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（3）新建企业科技工作者之家10个;在全县遴选10家科技创新型龙头企业，建立行业科技工作者之家，发挥示范带动作用，促进创新驱动经济发展。</w:t>
      </w:r>
    </w:p>
    <w:p>
      <w:pPr>
        <w:numPr>
          <w:ilvl w:val="0"/>
          <w:numId w:val="0"/>
        </w:numPr>
        <w:bidi w:val="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（4）在微信公众平台开设玉田县科技服务中心公众号。</w:t>
      </w:r>
    </w:p>
    <w:p>
      <w:pPr>
        <w:numPr>
          <w:ilvl w:val="0"/>
          <w:numId w:val="0"/>
        </w:numPr>
        <w:bidi w:val="0"/>
        <w:jc w:val="left"/>
        <w:rPr>
          <w:rFonts w:hint="eastAsia" w:ascii="仿宋" w:hAnsi="仿宋" w:eastAsia="仿宋" w:cs="仿宋"/>
          <w:sz w:val="32"/>
          <w:szCs w:val="32"/>
        </w:rPr>
      </w:pPr>
      <w:r>
        <w:rPr>
          <w:rFonts w:hint="eastAsia" w:ascii="仿宋" w:hAnsi="仿宋" w:eastAsia="仿宋" w:cs="仿宋"/>
          <w:kern w:val="2"/>
          <w:sz w:val="32"/>
          <w:szCs w:val="32"/>
          <w:lang w:val="en-US" w:eastAsia="zh-CN" w:bidi="ar-SA"/>
        </w:rPr>
        <w:t>利用现代信息技术手段精准服务科技企业和科技工作资讯、成果转化、科普宣传、志愿服务、在线交流等服务，建立常服务机制，在全社会营造创新驱动发展的浓厚氛围。</w:t>
      </w:r>
    </w:p>
    <w:p>
      <w:pPr>
        <w:numPr>
          <w:ilvl w:val="0"/>
          <w:numId w:val="0"/>
        </w:numPr>
        <w:bidi w:val="0"/>
        <w:jc w:val="left"/>
        <w:rPr>
          <w:rFonts w:hint="eastAsia" w:ascii="仿宋" w:hAnsi="仿宋" w:eastAsia="仿宋" w:cs="仿宋"/>
          <w:kern w:val="2"/>
          <w:sz w:val="32"/>
          <w:szCs w:val="32"/>
          <w:lang w:val="en-US" w:eastAsia="zh-CN" w:bidi="ar-SA"/>
        </w:rPr>
      </w:pPr>
      <w:r>
        <w:rPr>
          <w:rFonts w:hint="eastAsia" w:ascii="仿宋" w:hAnsi="仿宋" w:eastAsia="仿宋" w:cs="仿宋"/>
          <w:b/>
          <w:bCs/>
          <w:sz w:val="32"/>
          <w:szCs w:val="32"/>
        </w:rPr>
        <w:t>（四）项目效益情况。</w:t>
      </w:r>
      <w:r>
        <w:rPr>
          <w:rFonts w:hint="eastAsia" w:ascii="仿宋" w:hAnsi="仿宋" w:eastAsia="仿宋" w:cs="仿宋"/>
          <w:sz w:val="32"/>
          <w:szCs w:val="32"/>
          <w:lang w:val="en-US" w:eastAsia="zh-CN"/>
        </w:rPr>
        <w:t>1</w:t>
      </w:r>
      <w:r>
        <w:rPr>
          <w:rFonts w:hint="eastAsia" w:ascii="仿宋" w:hAnsi="仿宋" w:eastAsia="仿宋" w:cs="仿宋"/>
          <w:kern w:val="2"/>
          <w:sz w:val="32"/>
          <w:szCs w:val="32"/>
          <w:lang w:val="en-US" w:eastAsia="zh-CN" w:bidi="ar-SA"/>
        </w:rPr>
        <w:t>为5家企业解决了生产实际问题5个，提高了企业生产率和产品竞争力。预计创造效益1000万元。</w:t>
      </w:r>
    </w:p>
    <w:p>
      <w:pPr>
        <w:numPr>
          <w:ilvl w:val="0"/>
          <w:numId w:val="0"/>
        </w:numPr>
        <w:bidi w:val="0"/>
        <w:ind w:left="210" w:leftChars="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2、为1</w:t>
      </w:r>
      <w:bookmarkStart w:id="0" w:name="_GoBack"/>
      <w:bookmarkEnd w:id="0"/>
      <w:r>
        <w:rPr>
          <w:rFonts w:hint="eastAsia" w:ascii="仿宋" w:hAnsi="仿宋" w:eastAsia="仿宋" w:cs="仿宋"/>
          <w:kern w:val="2"/>
          <w:sz w:val="32"/>
          <w:szCs w:val="32"/>
          <w:lang w:val="en-US" w:eastAsia="zh-CN" w:bidi="ar-SA"/>
        </w:rPr>
        <w:t>0家企业创建科技工作者之家，增强了科技工作者的获得感和归属感，为科技工作者干事创业提供了活动场所。</w:t>
      </w:r>
    </w:p>
    <w:p>
      <w:pPr>
        <w:numPr>
          <w:ilvl w:val="0"/>
          <w:numId w:val="0"/>
        </w:numPr>
        <w:bidi w:val="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3、创新了科学普及路径和方法，丰富了科学普及形式</w:t>
      </w:r>
    </w:p>
    <w:p>
      <w:pPr>
        <w:numPr>
          <w:ilvl w:val="0"/>
          <w:numId w:val="0"/>
        </w:numPr>
        <w:bidi w:val="0"/>
        <w:jc w:val="left"/>
        <w:rPr>
          <w:rFonts w:hint="eastAsia" w:ascii="仿宋" w:hAnsi="仿宋" w:eastAsia="仿宋" w:cs="仿宋"/>
          <w:sz w:val="32"/>
          <w:szCs w:val="32"/>
          <w:lang w:eastAsia="zh-CN"/>
        </w:rPr>
      </w:pPr>
      <w:r>
        <w:rPr>
          <w:rFonts w:hint="eastAsia" w:ascii="仿宋" w:hAnsi="仿宋" w:eastAsia="仿宋" w:cs="仿宋"/>
          <w:kern w:val="2"/>
          <w:sz w:val="32"/>
          <w:szCs w:val="32"/>
          <w:lang w:val="en-US" w:eastAsia="zh-CN" w:bidi="ar-SA"/>
        </w:rPr>
        <w:t>4、开展科技创新培训，增强了企业家和员工的</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五、主要经验及做法、存在的问题及原因分析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一</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主要经验及做法。</w:t>
      </w:r>
      <w:r>
        <w:rPr>
          <w:rFonts w:hint="eastAsia" w:ascii="仿宋" w:hAnsi="仿宋" w:eastAsia="仿宋" w:cs="仿宋"/>
          <w:color w:val="000000"/>
          <w:kern w:val="0"/>
          <w:sz w:val="32"/>
          <w:szCs w:val="32"/>
        </w:rPr>
        <w:t>绩效运行监控应按照文件中规定的工作流程进行，对照制定的绩效目标，据实收集各项目绩效监控信息，在收集的基础上，对偏离绩效目标的原因进行分析，对全年绩效目标完成情况进行预计，并对预计年底不能完成目标的原因及拟采取的改进措施做出说明，将上述情况填报至绩效监控情况表中，做到内容完整、数据真实、客观公正。将绩效运行监控同预算执行进度一起进行“双监控”，发现问题及时纠正，确保绩效目标如期保质保量实现，在监控过程中，努力探索适合本单位实际情况的监控管理机制，提高资金运行效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存在的问题及原因分析</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一是</w:t>
      </w:r>
      <w:r>
        <w:rPr>
          <w:rFonts w:hint="eastAsia" w:ascii="仿宋" w:hAnsi="仿宋" w:eastAsia="仿宋" w:cs="仿宋"/>
          <w:color w:val="000000"/>
          <w:kern w:val="0"/>
          <w:sz w:val="32"/>
          <w:szCs w:val="32"/>
        </w:rPr>
        <w:t>对于绩效运行监控的认识不够深入，把项目支出绩效简单等同于工作目标、工作考核和业务管理。</w:t>
      </w:r>
      <w:r>
        <w:rPr>
          <w:rFonts w:hint="eastAsia" w:ascii="仿宋" w:hAnsi="仿宋" w:eastAsia="仿宋" w:cs="仿宋"/>
          <w:color w:val="000000"/>
          <w:kern w:val="0"/>
          <w:sz w:val="32"/>
          <w:szCs w:val="32"/>
          <w:lang w:val="en-US" w:eastAsia="zh-CN"/>
        </w:rPr>
        <w:t>二是</w:t>
      </w:r>
      <w:r>
        <w:rPr>
          <w:rFonts w:hint="eastAsia" w:ascii="仿宋" w:hAnsi="仿宋" w:eastAsia="仿宋" w:cs="仿宋"/>
          <w:color w:val="000000"/>
          <w:kern w:val="0"/>
          <w:sz w:val="32"/>
          <w:szCs w:val="32"/>
        </w:rPr>
        <w:t>绩效目标和指标往往根据项目实际完成情况制定，对项目执行过程有效约束不够，存在一定的偏差。</w:t>
      </w:r>
    </w:p>
    <w:p>
      <w:pPr>
        <w:numPr>
          <w:ilvl w:val="0"/>
          <w:numId w:val="3"/>
        </w:numPr>
        <w:spacing w:line="600" w:lineRule="exact"/>
        <w:ind w:left="-10" w:leftChars="0" w:firstLine="640" w:firstLineChars="0"/>
        <w:rPr>
          <w:rFonts w:hint="eastAsia" w:ascii="仿宋" w:hAnsi="仿宋" w:eastAsia="仿宋" w:cs="仿宋"/>
          <w:b/>
          <w:bCs/>
          <w:sz w:val="32"/>
          <w:szCs w:val="32"/>
        </w:rPr>
      </w:pPr>
      <w:r>
        <w:rPr>
          <w:rFonts w:hint="eastAsia" w:ascii="仿宋" w:hAnsi="仿宋" w:eastAsia="仿宋" w:cs="仿宋"/>
          <w:b/>
          <w:bCs/>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（一）加强绩效运行监控管理制度和流程建设，进一步深化、完善绩效管理体系，建立全过程的预算绩效管理机制，促进绩效管理工作向广度和深度延伸。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kern w:val="0"/>
          <w:sz w:val="32"/>
          <w:szCs w:val="32"/>
        </w:rPr>
        <w:t>（二）规范绩效运行监控资料的收集整理，确保相关信息完整、可靠，客观公正地反映项目资金实际使用和产生的绩效状况，为今后该项目实施方向及管理方式的改进提供指导。</w:t>
      </w:r>
    </w:p>
    <w:p>
      <w:pPr>
        <w:numPr>
          <w:ilvl w:val="0"/>
          <w:numId w:val="3"/>
        </w:numPr>
        <w:spacing w:line="600" w:lineRule="exact"/>
        <w:ind w:left="-10" w:leftChars="0" w:firstLine="640" w:firstLineChars="0"/>
        <w:rPr>
          <w:rFonts w:hint="eastAsia" w:ascii="仿宋" w:hAnsi="仿宋" w:eastAsia="仿宋" w:cs="仿宋"/>
          <w:b/>
          <w:bCs/>
          <w:sz w:val="32"/>
          <w:szCs w:val="32"/>
        </w:rPr>
      </w:pPr>
      <w:r>
        <w:rPr>
          <w:rFonts w:hint="eastAsia" w:ascii="仿宋" w:hAnsi="仿宋" w:eastAsia="仿宋" w:cs="仿宋"/>
          <w:b/>
          <w:bCs/>
          <w:sz w:val="32"/>
          <w:szCs w:val="32"/>
        </w:rPr>
        <w:t>其他需要说明的问题</w:t>
      </w:r>
    </w:p>
    <w:p>
      <w:pPr>
        <w:numPr>
          <w:ilvl w:val="0"/>
          <w:numId w:val="0"/>
        </w:numPr>
        <w:spacing w:line="600" w:lineRule="exact"/>
        <w:ind w:leftChars="20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A1A1AF"/>
    <w:multiLevelType w:val="singleLevel"/>
    <w:tmpl w:val="C9A1A1AF"/>
    <w:lvl w:ilvl="0" w:tentative="0">
      <w:start w:val="6"/>
      <w:numFmt w:val="chineseCounting"/>
      <w:suff w:val="nothing"/>
      <w:lvlText w:val="%1、"/>
      <w:lvlJc w:val="left"/>
      <w:pPr>
        <w:ind w:left="-10"/>
      </w:pPr>
      <w:rPr>
        <w:rFonts w:hint="eastAsia"/>
      </w:rPr>
    </w:lvl>
  </w:abstractNum>
  <w:abstractNum w:abstractNumId="1">
    <w:nsid w:val="E810F335"/>
    <w:multiLevelType w:val="singleLevel"/>
    <w:tmpl w:val="E810F335"/>
    <w:lvl w:ilvl="0" w:tentative="0">
      <w:start w:val="2"/>
      <w:numFmt w:val="chineseCounting"/>
      <w:suff w:val="nothing"/>
      <w:lvlText w:val="（%1）"/>
      <w:lvlJc w:val="left"/>
      <w:rPr>
        <w:rFonts w:hint="eastAsia"/>
      </w:rPr>
    </w:lvl>
  </w:abstractNum>
  <w:abstractNum w:abstractNumId="2">
    <w:nsid w:val="341414B7"/>
    <w:multiLevelType w:val="singleLevel"/>
    <w:tmpl w:val="341414B7"/>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3C73C40"/>
    <w:rsid w:val="0FD13331"/>
    <w:rsid w:val="20CD0AFC"/>
    <w:rsid w:val="22181C0B"/>
    <w:rsid w:val="30EB11F6"/>
    <w:rsid w:val="319672A7"/>
    <w:rsid w:val="36BB69D9"/>
    <w:rsid w:val="44787793"/>
    <w:rsid w:val="4595474B"/>
    <w:rsid w:val="46134FD0"/>
    <w:rsid w:val="49D67DF9"/>
    <w:rsid w:val="51D879E2"/>
    <w:rsid w:val="569D7B8C"/>
    <w:rsid w:val="5ADA2B2B"/>
    <w:rsid w:val="63AF0C61"/>
    <w:rsid w:val="70D604B6"/>
    <w:rsid w:val="76A74E38"/>
    <w:rsid w:val="78052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6</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2024-04-25T06:29:32Z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