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eastAsia="zh-CN"/>
        </w:rPr>
        <w:t>融媒体建设质保金</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（一）项目概况。根据项目建立的必要性，以及县政府的批复要求，</w:t>
      </w:r>
      <w:r>
        <w:rPr>
          <w:rFonts w:hint="eastAsia" w:ascii="仿宋_GB2312" w:eastAsia="仿宋_GB2312"/>
          <w:sz w:val="32"/>
          <w:szCs w:val="32"/>
          <w:lang w:eastAsia="zh-CN"/>
        </w:rPr>
        <w:t>安排资金</w:t>
      </w:r>
      <w:r>
        <w:rPr>
          <w:rFonts w:hint="eastAsia" w:ascii="仿宋_GB2312" w:eastAsia="仿宋_GB2312"/>
          <w:sz w:val="32"/>
          <w:szCs w:val="32"/>
          <w:lang w:val="en-US" w:eastAsia="zh-CN"/>
        </w:rPr>
        <w:t>1.7万元，用于缴纳融媒体建设质保金。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项目绩效总目标项目建立的必要性，以及县政府的批复要求</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项目绩效阶段性目标。我单位</w:t>
      </w:r>
      <w:r>
        <w:rPr>
          <w:rFonts w:hint="eastAsia" w:ascii="仿宋_GB2312" w:eastAsia="仿宋_GB2312"/>
          <w:sz w:val="32"/>
          <w:szCs w:val="32"/>
          <w:lang w:eastAsia="zh-CN"/>
        </w:rPr>
        <w:t>融媒体建设已完工，需缴纳质保金。</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房屋修缮</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房屋修缮</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房屋修缮项目的项目资金落实情况、业务管理、资金管理、财务管理、项目产出和项目效益等方面进行综合评价。通过认真细致的准备、实施和分析，玉田县融媒体中心房屋修缮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2C65F92"/>
    <w:rsid w:val="08022217"/>
    <w:rsid w:val="0DD25AF1"/>
    <w:rsid w:val="0FD13331"/>
    <w:rsid w:val="331B059C"/>
    <w:rsid w:val="4595474B"/>
    <w:rsid w:val="49D67DF9"/>
    <w:rsid w:val="4DF8328C"/>
    <w:rsid w:val="51D879E2"/>
    <w:rsid w:val="63AF0C61"/>
    <w:rsid w:val="760C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2035</Words>
  <Characters>2063</Characters>
  <Lines>1</Lines>
  <Paragraphs>1</Paragraphs>
  <TotalTime>2</TotalTime>
  <ScaleCrop>false</ScaleCrop>
  <LinksUpToDate>false</LinksUpToDate>
  <CharactersWithSpaces>2065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2024-04-19T00:28:48Z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5117F2F197114E3080C8070790F3A074_13</vt:lpwstr>
  </property>
</Properties>
</file>