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2022年玉田县第二批高标准农田建设项目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w:t>
      </w:r>
      <w:r>
        <w:rPr>
          <w:rFonts w:hint="eastAsia" w:ascii="仿宋_GB2312" w:hAnsi="Times New Roman" w:eastAsia="仿宋_GB2312" w:cs="Times New Roman"/>
          <w:sz w:val="32"/>
          <w:szCs w:val="32"/>
          <w:lang w:val="en-US" w:eastAsia="zh-CN"/>
        </w:rPr>
        <w:t>20</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年玉田县第</w:t>
      </w:r>
      <w:r>
        <w:rPr>
          <w:rFonts w:hint="eastAsia" w:ascii="仿宋_GB2312" w:eastAsia="仿宋_GB2312" w:cs="Times New Roman"/>
          <w:sz w:val="32"/>
          <w:szCs w:val="32"/>
          <w:lang w:val="en-US" w:eastAsia="zh-CN"/>
        </w:rPr>
        <w:t>二</w:t>
      </w:r>
      <w:r>
        <w:rPr>
          <w:rFonts w:hint="eastAsia" w:ascii="仿宋_GB2312" w:hAnsi="Times New Roman" w:eastAsia="仿宋_GB2312" w:cs="Times New Roman"/>
          <w:sz w:val="32"/>
          <w:szCs w:val="32"/>
          <w:lang w:val="en-US" w:eastAsia="zh-CN"/>
        </w:rPr>
        <w:t>批高标准农田建设项目</w:t>
      </w:r>
      <w:r>
        <w:rPr>
          <w:rFonts w:hint="eastAsia" w:ascii="仿宋_GB2312" w:hAnsi="Times New Roman" w:eastAsia="仿宋_GB2312" w:cs="Times New Roman"/>
          <w:sz w:val="32"/>
          <w:szCs w:val="32"/>
          <w:lang w:eastAsia="zh-CN"/>
        </w:rPr>
        <w:t>，总投资</w:t>
      </w:r>
      <w:r>
        <w:rPr>
          <w:rFonts w:hint="eastAsia" w:ascii="仿宋_GB2312" w:eastAsia="仿宋_GB2312" w:cs="Times New Roman"/>
          <w:sz w:val="32"/>
          <w:szCs w:val="32"/>
          <w:lang w:val="en-US" w:eastAsia="zh-CN"/>
        </w:rPr>
        <w:t>7157</w:t>
      </w:r>
      <w:r>
        <w:rPr>
          <w:rFonts w:hint="eastAsia" w:ascii="仿宋_GB2312" w:hAnsi="Times New Roman" w:eastAsia="仿宋_GB2312" w:cs="Times New Roman"/>
          <w:sz w:val="32"/>
          <w:szCs w:val="32"/>
          <w:lang w:val="en-US" w:eastAsia="zh-CN"/>
        </w:rPr>
        <w:t>万元，建设面积</w:t>
      </w:r>
      <w:r>
        <w:rPr>
          <w:rFonts w:hint="eastAsia" w:ascii="仿宋_GB2312" w:eastAsia="仿宋_GB2312" w:cs="Times New Roman"/>
          <w:sz w:val="32"/>
          <w:szCs w:val="32"/>
          <w:lang w:val="en-US" w:eastAsia="zh-CN"/>
        </w:rPr>
        <w:t>6</w:t>
      </w:r>
      <w:r>
        <w:rPr>
          <w:rFonts w:hint="eastAsia" w:ascii="仿宋_GB2312" w:hAnsi="Times New Roman" w:eastAsia="仿宋_GB2312" w:cs="Times New Roman"/>
          <w:sz w:val="32"/>
          <w:szCs w:val="32"/>
          <w:lang w:val="en-US" w:eastAsia="zh-CN"/>
        </w:rPr>
        <w:t>万亩，主要建设内容：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、地力提升工程。目前工程已经完工，正在进行竣工测量阶段，本次申请工程建设费用</w:t>
      </w:r>
      <w:r>
        <w:rPr>
          <w:rFonts w:hint="eastAsia" w:ascii="仿宋_GB2312" w:eastAsia="仿宋_GB2312" w:cs="Times New Roman"/>
          <w:sz w:val="32"/>
          <w:szCs w:val="32"/>
          <w:lang w:val="en-US" w:eastAsia="zh-CN"/>
        </w:rPr>
        <w:t>5231</w:t>
      </w:r>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sz w:val="32"/>
          <w:szCs w:val="32"/>
          <w:lang w:eastAsia="zh-CN"/>
        </w:rPr>
        <w:t>总投资</w:t>
      </w:r>
      <w:r>
        <w:rPr>
          <w:rFonts w:hint="eastAsia"/>
          <w:sz w:val="32"/>
          <w:szCs w:val="32"/>
          <w:lang w:val="en-US" w:eastAsia="zh-CN"/>
        </w:rPr>
        <w:t>7157</w:t>
      </w:r>
      <w:r>
        <w:rPr>
          <w:rFonts w:hint="eastAsia"/>
          <w:sz w:val="32"/>
          <w:szCs w:val="32"/>
        </w:rPr>
        <w:t>万元，</w:t>
      </w:r>
      <w:r>
        <w:rPr>
          <w:rFonts w:hint="eastAsia" w:ascii="仿宋_GB2312" w:eastAsia="仿宋_GB2312"/>
          <w:sz w:val="32"/>
          <w:szCs w:val="32"/>
        </w:rPr>
        <w:t>其中：中央财政资金</w:t>
      </w:r>
      <w:r>
        <w:rPr>
          <w:rFonts w:hint="eastAsia"/>
          <w:sz w:val="32"/>
          <w:szCs w:val="32"/>
          <w:lang w:val="en-US" w:eastAsia="zh-CN"/>
        </w:rPr>
        <w:t>5231</w:t>
      </w:r>
      <w:r>
        <w:rPr>
          <w:rFonts w:hint="eastAsia" w:ascii="仿宋_GB2312" w:eastAsia="仿宋_GB2312"/>
          <w:sz w:val="32"/>
          <w:szCs w:val="32"/>
        </w:rPr>
        <w:t>万元，省</w:t>
      </w:r>
      <w:r>
        <w:rPr>
          <w:rFonts w:hint="eastAsia" w:ascii="仿宋_GB2312" w:eastAsia="仿宋_GB2312"/>
          <w:sz w:val="32"/>
          <w:szCs w:val="32"/>
          <w:lang w:eastAsia="zh-CN"/>
        </w:rPr>
        <w:t>级债券</w:t>
      </w:r>
      <w:r>
        <w:rPr>
          <w:rFonts w:hint="eastAsia" w:ascii="仿宋_GB2312" w:eastAsia="仿宋_GB2312"/>
          <w:sz w:val="32"/>
          <w:szCs w:val="32"/>
        </w:rPr>
        <w:t>资金</w:t>
      </w:r>
      <w:r>
        <w:rPr>
          <w:rFonts w:hint="eastAsia"/>
          <w:sz w:val="32"/>
          <w:szCs w:val="32"/>
          <w:lang w:val="en-US" w:eastAsia="zh-CN"/>
        </w:rPr>
        <w:t>1926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6</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该项目于</w:t>
      </w:r>
      <w:r>
        <w:rPr>
          <w:rFonts w:hint="eastAsia" w:ascii="仿宋_GB2312" w:eastAsia="仿宋_GB2312"/>
          <w:sz w:val="32"/>
          <w:szCs w:val="32"/>
          <w:lang w:val="en-US" w:eastAsia="zh-CN"/>
        </w:rPr>
        <w:t>2023年12月份开工，预计</w:t>
      </w:r>
      <w:r>
        <w:rPr>
          <w:rFonts w:hint="eastAsia" w:ascii="仿宋_GB2312" w:eastAsia="仿宋_GB2312" w:cs="Times New Roman"/>
          <w:sz w:val="32"/>
          <w:szCs w:val="32"/>
          <w:lang w:val="en-US" w:eastAsia="zh-CN"/>
        </w:rPr>
        <w:t>2024月6月底完工，预计12月底完成资金拨付工作。</w:t>
      </w:r>
    </w:p>
    <w:p>
      <w:pPr>
        <w:pStyle w:val="6"/>
        <w:rPr>
          <w:rFonts w:hint="eastAsia" w:ascii="仿宋_GB2312" w:hAnsi="Times New Roman" w:eastAsia="仿宋_GB2312" w:cs="Times New Roman"/>
          <w:sz w:val="32"/>
          <w:szCs w:val="32"/>
        </w:rPr>
      </w:pPr>
      <w:r>
        <w:rPr>
          <w:rFonts w:hint="eastAsia" w:ascii="仿宋_GB2312" w:eastAsia="仿宋_GB2312"/>
          <w:sz w:val="32"/>
          <w:szCs w:val="32"/>
        </w:rPr>
        <w:t>（三）项目产出情况。</w:t>
      </w:r>
      <w:r>
        <w:rPr>
          <w:rFonts w:hint="default" w:ascii="仿宋_GB2312" w:hAnsi="Times New Roman" w:eastAsia="仿宋_GB2312" w:cs="Times New Roman"/>
          <w:kern w:val="2"/>
          <w:sz w:val="32"/>
          <w:szCs w:val="32"/>
          <w:lang w:val="en-US" w:eastAsia="zh-CN" w:bidi="ar-SA"/>
        </w:rPr>
        <w:t>项目实施后，项目区耕地种植玉米</w:t>
      </w:r>
      <w:r>
        <w:rPr>
          <w:rFonts w:hint="eastAsia" w:hAnsi="Times New Roman" w:cs="Times New Roman"/>
          <w:kern w:val="2"/>
          <w:sz w:val="32"/>
          <w:szCs w:val="32"/>
          <w:lang w:val="en-US" w:eastAsia="zh-CN" w:bidi="ar-SA"/>
        </w:rPr>
        <w:t>35</w:t>
      </w:r>
      <w:r>
        <w:rPr>
          <w:rFonts w:hint="default" w:ascii="仿宋_GB2312" w:hAnsi="Times New Roman" w:eastAsia="仿宋_GB2312" w:cs="Times New Roman"/>
          <w:kern w:val="2"/>
          <w:sz w:val="32"/>
          <w:szCs w:val="32"/>
          <w:lang w:val="en-US" w:eastAsia="zh-CN" w:bidi="ar-SA"/>
        </w:rPr>
        <w:t>000亩，小麦</w:t>
      </w:r>
      <w:r>
        <w:rPr>
          <w:rFonts w:hint="eastAsia" w:hAnsi="Times New Roman" w:cs="Times New Roman"/>
          <w:kern w:val="2"/>
          <w:sz w:val="32"/>
          <w:szCs w:val="32"/>
          <w:lang w:val="en-US" w:eastAsia="zh-CN" w:bidi="ar-SA"/>
        </w:rPr>
        <w:t>20</w:t>
      </w:r>
      <w:r>
        <w:rPr>
          <w:rFonts w:hint="default" w:ascii="仿宋_GB2312" w:hAnsi="Times New Roman" w:eastAsia="仿宋_GB2312" w:cs="Times New Roman"/>
          <w:kern w:val="2"/>
          <w:sz w:val="32"/>
          <w:szCs w:val="32"/>
          <w:lang w:val="en-US" w:eastAsia="zh-CN" w:bidi="ar-SA"/>
        </w:rPr>
        <w:t>000亩，蔬菜2000亩。由于生产条件的改善，农产品产量将大大增加，项目实施后总产值达到6759万元，年纯收入达到5398万元。通过项目实施，年新增利润667万元。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w:t>
      </w:r>
      <w:r>
        <w:rPr>
          <w:rFonts w:hint="default" w:ascii="仿宋_GB2312" w:hAnsi="Times New Roman" w:eastAsia="仿宋_GB2312" w:cs="Times New Roman"/>
          <w:kern w:val="2"/>
          <w:sz w:val="32"/>
          <w:szCs w:val="32"/>
          <w:lang w:val="en-US" w:eastAsia="zh-CN" w:bidi="ar-SA"/>
        </w:rPr>
        <w:t>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经济效益，</w:t>
      </w:r>
      <w:r>
        <w:rPr>
          <w:rFonts w:hint="default" w:ascii="仿宋_GB2312" w:hAnsi="Times New Roman" w:eastAsia="仿宋_GB2312" w:cs="Times New Roman"/>
          <w:kern w:val="2"/>
          <w:sz w:val="32"/>
          <w:szCs w:val="32"/>
          <w:lang w:val="en-US" w:eastAsia="zh-CN" w:bidi="ar-SA"/>
        </w:rPr>
        <w:t>项目实施后，由于采取了田间工程和地力建设等措施，农田基础设施条件有较大的改善，农田灌溉率有保障，技术水平有明显提高，项目区粮食及经济作物产量明显增加。</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环境效益可持续影响、</w:t>
      </w:r>
      <w:r>
        <w:rPr>
          <w:rFonts w:hint="default" w:ascii="仿宋_GB2312" w:hAnsi="Times New Roman" w:eastAsia="仿宋_GB2312" w:cs="Times New Roman"/>
          <w:kern w:val="2"/>
          <w:sz w:val="32"/>
          <w:szCs w:val="32"/>
          <w:lang w:val="en-US" w:eastAsia="zh-CN" w:bidi="ar-SA"/>
        </w:rPr>
        <w:t>项目建成后，通过水利措施改善灌溉面积</w:t>
      </w:r>
      <w:r>
        <w:rPr>
          <w:rFonts w:hint="eastAsia" w:hAnsi="Times New Roman" w:cs="Times New Roman"/>
          <w:kern w:val="2"/>
          <w:sz w:val="32"/>
          <w:szCs w:val="32"/>
          <w:lang w:val="en-US" w:eastAsia="zh-CN" w:bidi="ar-SA"/>
        </w:rPr>
        <w:t>6</w:t>
      </w:r>
      <w:r>
        <w:rPr>
          <w:rFonts w:hint="eastAsia" w:ascii="仿宋_GB2312" w:hAnsi="Times New Roman" w:eastAsia="仿宋_GB2312" w:cs="Times New Roman"/>
          <w:kern w:val="2"/>
          <w:sz w:val="32"/>
          <w:szCs w:val="32"/>
          <w:lang w:val="en-US" w:eastAsia="zh-CN" w:bidi="ar-SA"/>
        </w:rPr>
        <w:t>0000</w:t>
      </w:r>
      <w:r>
        <w:rPr>
          <w:rFonts w:hint="default" w:ascii="仿宋_GB2312" w:hAnsi="Times New Roman" w:eastAsia="仿宋_GB2312" w:cs="Times New Roman"/>
          <w:kern w:val="2"/>
          <w:sz w:val="32"/>
          <w:szCs w:val="32"/>
          <w:lang w:val="en-US" w:eastAsia="zh-CN" w:bidi="ar-SA"/>
        </w:rPr>
        <w:t>亩，提高了项目区抵御自然灾害的能力。田间小气候将得到明显改善，农作物得到有效防护。通过</w:t>
      </w:r>
      <w:r>
        <w:rPr>
          <w:rFonts w:hint="eastAsia" w:ascii="仿宋_GB2312" w:hAnsi="Times New Roman" w:eastAsia="仿宋_GB2312" w:cs="Times New Roman"/>
          <w:kern w:val="2"/>
          <w:sz w:val="32"/>
          <w:szCs w:val="32"/>
          <w:lang w:val="en-US" w:eastAsia="zh-CN" w:bidi="ar-SA"/>
        </w:rPr>
        <w:t>深耕深松和</w:t>
      </w:r>
      <w:r>
        <w:rPr>
          <w:rFonts w:hint="default" w:ascii="仿宋_GB2312" w:hAnsi="Times New Roman" w:eastAsia="仿宋_GB2312" w:cs="Times New Roman"/>
          <w:kern w:val="2"/>
          <w:sz w:val="32"/>
          <w:szCs w:val="32"/>
          <w:lang w:val="en-US" w:eastAsia="zh-CN" w:bidi="ar-SA"/>
        </w:rPr>
        <w:t>增施</w:t>
      </w:r>
      <w:r>
        <w:rPr>
          <w:rFonts w:hint="eastAsia" w:ascii="仿宋_GB2312" w:hAnsi="Times New Roman" w:eastAsia="仿宋_GB2312" w:cs="Times New Roman"/>
          <w:kern w:val="2"/>
          <w:sz w:val="32"/>
          <w:szCs w:val="32"/>
          <w:lang w:val="en-US" w:eastAsia="zh-CN" w:bidi="ar-SA"/>
        </w:rPr>
        <w:t>配方肥</w:t>
      </w:r>
      <w:r>
        <w:rPr>
          <w:rFonts w:hint="default" w:ascii="仿宋_GB2312" w:hAnsi="Times New Roman" w:eastAsia="仿宋_GB2312" w:cs="Times New Roman"/>
          <w:kern w:val="2"/>
          <w:sz w:val="32"/>
          <w:szCs w:val="32"/>
          <w:lang w:val="en-US" w:eastAsia="zh-CN" w:bidi="ar-SA"/>
        </w:rPr>
        <w:t>，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服务对象满意度，农民还有扶持对象对政策实施的满意度均达到了95%以上。</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adjustRightInd w:val="0"/>
        <w:snapToGrid w:val="0"/>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一是计划在原项目区利用结余资金，增加与完善变压器增容、更新与低压线改造、田间道路等建设内容，用足用好</w:t>
      </w:r>
      <w:r>
        <w:rPr>
          <w:rFonts w:hint="eastAsia" w:ascii="仿宋_GB2312" w:hAnsi="Times New Roman" w:eastAsia="仿宋_GB2312" w:cs="Times New Roman"/>
          <w:sz w:val="32"/>
          <w:szCs w:val="32"/>
        </w:rPr>
        <w:t>项目</w:t>
      </w:r>
      <w:r>
        <w:rPr>
          <w:rFonts w:hint="eastAsia" w:ascii="仿宋_GB2312" w:hAnsi="Times New Roman" w:eastAsia="仿宋_GB2312" w:cs="Times New Roman"/>
          <w:sz w:val="32"/>
          <w:szCs w:val="32"/>
          <w:lang w:val="en-US" w:eastAsia="zh-CN"/>
        </w:rPr>
        <w:t>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bookmarkStart w:id="0" w:name="_GoBack"/>
      <w:r>
        <w:rPr>
          <w:rFonts w:hint="eastAsia" w:ascii="方正仿宋简体" w:hAnsi="方正仿宋简体" w:eastAsia="方正仿宋简体" w:cs="方正仿宋简体"/>
          <w:b w:val="0"/>
          <w:bCs w:val="0"/>
          <w:color w:val="auto"/>
          <w:sz w:val="32"/>
          <w:szCs w:val="32"/>
          <w:lang w:val="en-US" w:eastAsia="zh-CN"/>
        </w:rPr>
        <w:t>六、</w:t>
      </w:r>
      <w:bookmarkEnd w:id="0"/>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abstractNum w:abstractNumId="1">
    <w:nsid w:val="3640D055"/>
    <w:multiLevelType w:val="singleLevel"/>
    <w:tmpl w:val="3640D05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46737"/>
    <w:rsid w:val="26E216F1"/>
    <w:rsid w:val="761467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2024-04-19T01:34:00Z</dcterms:created>
  <dc:creator>Administrator</dc:creator>
  <cp:lastModifiedBy>Administrator</cp:lastModifiedBy>
  <dcterms:modified xsi:type="dcterms:W3CDTF">2024-04-19T01:37:46Z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