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附件2：</w:t>
      </w:r>
    </w:p>
    <w:p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玉田县农业农村局</w:t>
      </w:r>
    </w:p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部门</w:t>
      </w:r>
      <w:r>
        <w:rPr>
          <w:rFonts w:ascii="Times New Roman" w:hAnsi="Times New Roman" w:eastAsia="方正小标宋_GBK" w:cs="Times New Roman"/>
          <w:sz w:val="44"/>
          <w:szCs w:val="44"/>
        </w:rPr>
        <w:t>1-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_GBK" w:cs="Times New Roman"/>
          <w:sz w:val="44"/>
          <w:szCs w:val="44"/>
        </w:rPr>
        <w:t>月份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预算绩效运行</w:t>
      </w:r>
      <w:r>
        <w:rPr>
          <w:rFonts w:ascii="Times New Roman" w:hAnsi="Times New Roman" w:eastAsia="方正小标宋_GBK" w:cs="Times New Roman"/>
          <w:sz w:val="44"/>
          <w:szCs w:val="44"/>
        </w:rPr>
        <w:t>监控报告</w:t>
      </w:r>
    </w:p>
    <w:p>
      <w:pPr>
        <w:jc w:val="center"/>
        <w:rPr>
          <w:rFonts w:ascii="方正仿宋_GBK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一、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预算绩效运行</w:t>
      </w:r>
      <w:r>
        <w:rPr>
          <w:rFonts w:ascii="Times New Roman" w:hAnsi="Times New Roman" w:eastAsia="方正黑体_GBK" w:cs="Times New Roman"/>
          <w:sz w:val="32"/>
          <w:szCs w:val="32"/>
        </w:rPr>
        <w:t>监控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工作</w:t>
      </w:r>
      <w:r>
        <w:rPr>
          <w:rFonts w:ascii="Times New Roman" w:hAnsi="Times New Roman" w:eastAsia="方正黑体_GBK" w:cs="Times New Roman"/>
          <w:sz w:val="32"/>
          <w:szCs w:val="32"/>
        </w:rPr>
        <w:t>组织开展情况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资金情况：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60586.616979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60586.616979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5526.878111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284.545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54775.093868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监控工作开展情况：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按照围绕中心、服务大局、突出重点、讲求实效的工作思路，紧扣县委的重大决策部署开展人大监督。围绕义务教育、乡镇卫生院建设、公共文化服务、卫生应急能力等重大民生事项强化监督，促进关乎发展与民生工作更好开展。继续深化对财政预算的监督，加强预算初审、预算执行监督及财政决算的审查，不断提高预算的全口径、全链条监督水平。开展《道路交通安全法》《药品管理法》《社会保险法》《刑事诉讼法》《野生动物保护法》等法律法规执法检查，重点对扫黑除恶、社会治安、法院执行等项工作进行视察调研。支持和督促政府深入开展法制宣传教育工作，为加快发展营造良好法治环境。研究探索对监察委员会监督的方式方法，适时听取县监察委员会工作汇报，提出意见建议。进一步加强司法监督，深入推进普法宣传工作，促进法治政府建设，开展“国家宪法日”和“宪法宣传周”系列活动，提高全民法治素养，维护社会和谐稳定。</w:t>
      </w: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二、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预算绩效运行</w:t>
      </w:r>
      <w:r>
        <w:rPr>
          <w:rFonts w:ascii="Times New Roman" w:hAnsi="Times New Roman" w:eastAsia="方正黑体_GBK" w:cs="Times New Roman"/>
          <w:sz w:val="32"/>
          <w:szCs w:val="32"/>
        </w:rPr>
        <w:t>监控结果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及</w:t>
      </w:r>
      <w:r>
        <w:rPr>
          <w:rFonts w:ascii="Times New Roman" w:hAnsi="Times New Roman" w:eastAsia="方正黑体_GBK" w:cs="Times New Roman"/>
          <w:sz w:val="32"/>
          <w:szCs w:val="32"/>
        </w:rPr>
        <w:t>分析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监控结果。：绩效目标实现程度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达到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>%的项目有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个，绩效目标实现程度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 w:cs="Times New Roman"/>
          <w:sz w:val="32"/>
          <w:szCs w:val="32"/>
        </w:rPr>
        <w:t>%以下的项目有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方正仿宋_GBK" w:cs="Times New Roman"/>
          <w:sz w:val="32"/>
          <w:szCs w:val="32"/>
        </w:rPr>
        <w:t>个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，工作未开展的项目有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个。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预计年底能实现绩效目标的项目有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方正仿宋_GBK" w:cs="Times New Roman"/>
          <w:sz w:val="32"/>
          <w:szCs w:val="32"/>
        </w:rPr>
        <w:t>个，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涉及资金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4549.55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</w:t>
      </w:r>
      <w:r>
        <w:rPr>
          <w:rFonts w:ascii="Times New Roman" w:hAnsi="Times New Roman" w:eastAsia="方正仿宋_GBK" w:cs="Times New Roman"/>
          <w:sz w:val="32"/>
          <w:szCs w:val="32"/>
        </w:rPr>
        <w:t>；不能完成绩效目标的项目有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个；预计年底完成情况与年初目标差距较大的项目有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个。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具体统计表如下：</w:t>
      </w:r>
    </w:p>
    <w:tbl>
      <w:tblPr>
        <w:tblStyle w:val="6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5175"/>
        <w:gridCol w:w="760"/>
        <w:gridCol w:w="459"/>
        <w:gridCol w:w="312"/>
        <w:gridCol w:w="409"/>
        <w:gridCol w:w="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30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26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月底绩效目标实现程度（%）</w:t>
            </w:r>
          </w:p>
        </w:tc>
        <w:tc>
          <w:tcPr>
            <w:tcW w:w="60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预计年底绩效目标实现情况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0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差距较大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2023年政策性农机保险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61.95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不能</w:t>
            </w: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2024年农业社会化服务项目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650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2024年农业社会化服务项目工作经费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2024年“三夏”生产工作经费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2024年农机补贴工作经费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2024年农机监理工作经费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2024年农机购置与应用补贴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2381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2024年原乡镇（公社）三员生活补贴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460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2023-2024年</w:t>
            </w:r>
            <w:r>
              <w:rPr>
                <w:rFonts w:ascii="宋体" w:hAnsi="宋体" w:eastAsia="宋体" w:cs="宋体"/>
                <w:sz w:val="24"/>
                <w:szCs w:val="24"/>
              </w:rPr>
              <w:t>农机新机具新技术研发项目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25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冀财农[2022]159号文2023年省级农产品质量安全及疫病防治资金-疫病防治（2023年度农产品市场信息预警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）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3.1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2022年玉田县中央预算内高标准农田建设项目-地力提升</w:t>
            </w: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51</w:t>
            </w: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2021年玉田县（第二批）鸦鸿桥镇片高标准农田建设项目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2024年委托帮扶项目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573" w:firstLineChars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512.85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center" w:pos="98"/>
              </w:tabs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2023年奶业新型经营主体培育项目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52.8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冀财农[2022]159号文2023年省级农产品质量安全及疫病防治资金-疫病防治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147.37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冀财农【2023】54号2023年中央农业防灾减灾和水利救灾资金（动物防疫补助）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98.43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玉田县农业农村局</w:t>
            </w: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玉田供京蔬菜品牌建设项目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能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0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4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0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3. </w:t>
      </w:r>
      <w:r>
        <w:rPr>
          <w:rFonts w:ascii="Times New Roman" w:hAnsi="Times New Roman" w:eastAsia="方正仿宋_GBK" w:cs="Times New Roman"/>
          <w:sz w:val="32"/>
          <w:szCs w:val="32"/>
        </w:rPr>
        <w:t>偏差原因分析：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农机推广站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3567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112.279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3.15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效果指标－社会效益指标－意见建议采纳率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95%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满意度指标－服务对象满意度－人大工作参与者满意度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95%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产出指标-时效指标-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资金及时拨付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  <w:bookmarkStart w:id="0" w:name="OLE_LINK1"/>
      <w:bookmarkEnd w:id="0"/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）2023年度农产品市场信息预警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项目年</w:t>
      </w:r>
      <w:r>
        <w:rPr>
          <w:rFonts w:hint="eastAsia" w:ascii="仿宋" w:hAnsi="仿宋" w:eastAsia="仿宋" w:cs="方正仿宋_GBK"/>
          <w:sz w:val="32"/>
          <w:szCs w:val="32"/>
        </w:rPr>
        <w:t>项目目标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为采集上报数据信息1100 条；截至2023年底已超额完成</w:t>
      </w:r>
      <w:r>
        <w:rPr>
          <w:rFonts w:hint="eastAsia" w:ascii="仿宋" w:hAnsi="仿宋" w:eastAsia="仿宋" w:cs="方正仿宋_GBK"/>
          <w:sz w:val="32"/>
          <w:szCs w:val="32"/>
        </w:rPr>
        <w:t>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3.1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（1）产出指标—质量指标—全年农产品市场信息采集上报数据信息条数为1331条；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产出指标—质量指标—采集信息准确率99%；（3）产出指标—时效指标—2023年度完成；（4）</w:t>
      </w:r>
      <w:r>
        <w:rPr>
          <w:rFonts w:hint="eastAsia" w:ascii="仿宋" w:hAnsi="仿宋" w:eastAsia="仿宋" w:cs="方正仿宋_GBK"/>
          <w:sz w:val="32"/>
          <w:szCs w:val="32"/>
        </w:rPr>
        <w:t>满意度指标－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群众满意度</w:t>
      </w:r>
      <w:r>
        <w:rPr>
          <w:rFonts w:hint="eastAsia" w:ascii="仿宋" w:hAnsi="仿宋" w:eastAsia="仿宋" w:cs="方正仿宋_GBK"/>
          <w:sz w:val="32"/>
          <w:szCs w:val="32"/>
        </w:rPr>
        <w:t>满意度－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98%</w:t>
      </w:r>
      <w:r>
        <w:rPr>
          <w:rFonts w:hint="eastAsia" w:ascii="仿宋" w:hAnsi="仿宋" w:eastAsia="仿宋" w:cs="方正仿宋_GBK"/>
          <w:sz w:val="32"/>
          <w:szCs w:val="32"/>
        </w:rPr>
        <w:t>，指标值为&gt;＝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方正仿宋_GBK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玉田县高标准农田建设项目</w:t>
      </w:r>
      <w:r>
        <w:rPr>
          <w:rFonts w:hint="eastAsia" w:ascii="仿宋" w:hAnsi="仿宋" w:eastAsia="仿宋" w:cs="方正仿宋_GBK"/>
          <w:sz w:val="32"/>
          <w:szCs w:val="32"/>
        </w:rPr>
        <w:t>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117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117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意见建议采纳率（被采纳意见建设数量占总数量），指标值为&gt;＝90%。2、满意度指标－服务对象满意度－人大工作参与者满意度情况（人大工作参与者满意人数占参与人数的比例），指标值为&gt;＝80%。3、产出指标-时效指标-会议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方正仿宋_GBK"/>
          <w:sz w:val="32"/>
          <w:szCs w:val="32"/>
        </w:rPr>
        <w:t>预期进行。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2024年委托帮扶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5.0928</w:t>
      </w:r>
      <w:r>
        <w:rPr>
          <w:rFonts w:hint="eastAsia" w:ascii="仿宋" w:hAnsi="仿宋" w:eastAsia="仿宋" w:cs="方正仿宋_GBK"/>
          <w:sz w:val="32"/>
          <w:szCs w:val="32"/>
        </w:rPr>
        <w:t>万元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方正仿宋_GBK"/>
          <w:sz w:val="32"/>
          <w:szCs w:val="32"/>
        </w:rPr>
        <w:t xml:space="preserve"> 目标完成情况为:1、效果指标－社会效益指标－意见建议采纳率（被采纳意见建设数量占总数量），指标值为&gt;＝90%。2、满意度指标－服务对象满意度－人大工作参与者满意度情况（人大工作参与者满意人数占参与人数的比例），指标值为&gt;＝80%。3、产出指标-时效指标-会议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方正仿宋_GBK"/>
          <w:sz w:val="32"/>
          <w:szCs w:val="32"/>
        </w:rPr>
        <w:t>预期进行。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2024年奶业新型经营主体培育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52.8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意见建议采纳率（被采纳意见建设数量占总数量），指标值为&gt;＝90%。2、满意度指标－服务对象满意度－人大工作参与者满意度情况（人大工作参与者满意人数占参与人数的比例），指标值为&gt;＝80%。3、产出指标-时效指标-会议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方正仿宋_GBK"/>
          <w:sz w:val="32"/>
          <w:szCs w:val="32"/>
        </w:rPr>
        <w:t>预期进行。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冀财农[2022]159号文2023年省级农产品质量安全及疫病防治资金-疫病防治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147.37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22.2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14.96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意见建议采纳率（被采纳意见建设数量占总数量），指标值为&gt;＝90%。2、满意度指标－服务对象满意度－人大工作参与者满意度情况（人大工作参与者满意人数占参与人数的比例），指标值为&gt;＝80%。3、产出指标-时效指标-会议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方正仿宋_GBK"/>
          <w:sz w:val="32"/>
          <w:szCs w:val="32"/>
        </w:rPr>
        <w:t>预期进行。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方正仿宋_GBK"/>
          <w:sz w:val="32"/>
          <w:szCs w:val="32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、冀财农【2023】54号2023年中央农业防灾减灾和水利救灾资金（动物防疫补助）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98.43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10.16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意见建议采纳率（被采纳意见建设数量占总数量），指标值为&gt;＝90%。2、满意度指标－服务对象满意度－人大工作参与者满意度情况（人大工作参与者满意人数占参与人数的比例），指标值为&gt;＝80%。3、产出指标-时效指标-会议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方正仿宋_GBK"/>
          <w:sz w:val="32"/>
          <w:szCs w:val="32"/>
        </w:rPr>
        <w:t>预期进行。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（8）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、玉田供京蔬菜品牌建设项目目标完成情况。调整预算为50万元，1-3月支出50万元，预算执行率为100%。目标完成情况为:绩效目标已全部完成。1、效果指标：项目通过召开“玉田供京蔬菜”宣传推介会议及技术服务等，持续推进“玉田供京蔬菜”品牌建设，营造浓厚的品牌建设氛围，提升“玉田供京蔬菜”品牌知名度和影响力。2、满意度指标：项目的开展，有力地推动了全县蔬菜产业发展，促进了农业增产和农民增收，群众满意度100%。3、产出指标：召开“首届京津冀露地蔬菜产业创新大会暨2023玉田供京蔬菜质量大会”1次，会议成果显著。</w:t>
      </w:r>
    </w:p>
    <w:p>
      <w:pPr>
        <w:pStyle w:val="2"/>
        <w:rPr>
          <w:rFonts w:hint="default" w:eastAsia="仿宋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4. 监控过程中采取的整改措施及整改结果。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1、加强项目资金使用效益跟踪,及时预控、查找资金使用和管理过程中存在的薄弱环节,及时纠正偏差,确保绩效目标的实现。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2、强化资金绩效实现情况的责任约束,对资金偏离预算绩效目标的支出,及时采取措施纠正,进一步规范项目资金使用绩效。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3、认真研究,理清思路,保证工作层层有人抓,问题和困难项项有对策,确保各项工作达到预期的绩效目标。</w:t>
      </w: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三、下一步监控工作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一是对于绩效目标执行正常项目，提出下半年保障目标实现的具体措施；对于执行出现偏差的项目，结合原因分析，提出整改措施；对于预计年底无法实现的项目，提出调整意见；对于执行中出现重大问题的，提出绩效问责处理意见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二是加强日常监控工作。</w:t>
      </w:r>
      <w:bookmarkStart w:id="1" w:name="_GoBack"/>
      <w:bookmarkEnd w:id="1"/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3MTExMGY0MDg3Y2IzZDM3MDM2NzQ4MjAzZWViOGMifQ=="/>
  </w:docVars>
  <w:rsids>
    <w:rsidRoot w:val="00D7446F"/>
    <w:rsid w:val="00005A6E"/>
    <w:rsid w:val="000431DD"/>
    <w:rsid w:val="0005201C"/>
    <w:rsid w:val="00065E0B"/>
    <w:rsid w:val="00084A85"/>
    <w:rsid w:val="00153AC5"/>
    <w:rsid w:val="00170408"/>
    <w:rsid w:val="00174AF1"/>
    <w:rsid w:val="001A011C"/>
    <w:rsid w:val="001B32FF"/>
    <w:rsid w:val="001B58C3"/>
    <w:rsid w:val="001F31B7"/>
    <w:rsid w:val="002013A3"/>
    <w:rsid w:val="002405B6"/>
    <w:rsid w:val="00287144"/>
    <w:rsid w:val="00295063"/>
    <w:rsid w:val="002A1E10"/>
    <w:rsid w:val="00305792"/>
    <w:rsid w:val="003C0790"/>
    <w:rsid w:val="003C726B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F3AE2"/>
    <w:rsid w:val="0054000A"/>
    <w:rsid w:val="00547C19"/>
    <w:rsid w:val="005828C9"/>
    <w:rsid w:val="005B3170"/>
    <w:rsid w:val="005C6FDB"/>
    <w:rsid w:val="005F1272"/>
    <w:rsid w:val="005F4727"/>
    <w:rsid w:val="0061139B"/>
    <w:rsid w:val="006130F0"/>
    <w:rsid w:val="00632C58"/>
    <w:rsid w:val="00635191"/>
    <w:rsid w:val="0064111A"/>
    <w:rsid w:val="00655E95"/>
    <w:rsid w:val="006D605E"/>
    <w:rsid w:val="006F5044"/>
    <w:rsid w:val="007318EA"/>
    <w:rsid w:val="007437A6"/>
    <w:rsid w:val="007447F9"/>
    <w:rsid w:val="00784F9A"/>
    <w:rsid w:val="00797A4E"/>
    <w:rsid w:val="007C60CF"/>
    <w:rsid w:val="007E6C71"/>
    <w:rsid w:val="00825151"/>
    <w:rsid w:val="00853A3E"/>
    <w:rsid w:val="008C0B77"/>
    <w:rsid w:val="008E0BCC"/>
    <w:rsid w:val="008E6902"/>
    <w:rsid w:val="00915109"/>
    <w:rsid w:val="009317BD"/>
    <w:rsid w:val="00945A64"/>
    <w:rsid w:val="00990698"/>
    <w:rsid w:val="009A5048"/>
    <w:rsid w:val="009D5A0D"/>
    <w:rsid w:val="00A03993"/>
    <w:rsid w:val="00A11E3C"/>
    <w:rsid w:val="00A34C6F"/>
    <w:rsid w:val="00A503F8"/>
    <w:rsid w:val="00A74A72"/>
    <w:rsid w:val="00A771B0"/>
    <w:rsid w:val="00A7792E"/>
    <w:rsid w:val="00A947F0"/>
    <w:rsid w:val="00AB08FD"/>
    <w:rsid w:val="00AC73CA"/>
    <w:rsid w:val="00AF73D6"/>
    <w:rsid w:val="00B04FFC"/>
    <w:rsid w:val="00B852DD"/>
    <w:rsid w:val="00BB128C"/>
    <w:rsid w:val="00BD2C96"/>
    <w:rsid w:val="00C05BA6"/>
    <w:rsid w:val="00C1496B"/>
    <w:rsid w:val="00C22B70"/>
    <w:rsid w:val="00C41D9E"/>
    <w:rsid w:val="00C8776B"/>
    <w:rsid w:val="00CA367C"/>
    <w:rsid w:val="00CD0D5A"/>
    <w:rsid w:val="00CE084A"/>
    <w:rsid w:val="00CF3A50"/>
    <w:rsid w:val="00D04D3C"/>
    <w:rsid w:val="00D42884"/>
    <w:rsid w:val="00D52E3A"/>
    <w:rsid w:val="00D54A56"/>
    <w:rsid w:val="00D7446F"/>
    <w:rsid w:val="00D95429"/>
    <w:rsid w:val="00DB4197"/>
    <w:rsid w:val="00E21A08"/>
    <w:rsid w:val="00E37F65"/>
    <w:rsid w:val="00E41D97"/>
    <w:rsid w:val="00E620E9"/>
    <w:rsid w:val="00E7640E"/>
    <w:rsid w:val="00E769F6"/>
    <w:rsid w:val="00EA0E92"/>
    <w:rsid w:val="00EB30FF"/>
    <w:rsid w:val="00EC001C"/>
    <w:rsid w:val="00ED573B"/>
    <w:rsid w:val="00EE1F5F"/>
    <w:rsid w:val="00F017B5"/>
    <w:rsid w:val="00F1091C"/>
    <w:rsid w:val="00F92B0E"/>
    <w:rsid w:val="00F9543E"/>
    <w:rsid w:val="00FC4380"/>
    <w:rsid w:val="00FC700A"/>
    <w:rsid w:val="00FE30F8"/>
    <w:rsid w:val="16FF2F90"/>
    <w:rsid w:val="26B05682"/>
    <w:rsid w:val="27E678E4"/>
    <w:rsid w:val="2B794678"/>
    <w:rsid w:val="4A50622B"/>
    <w:rsid w:val="50425094"/>
    <w:rsid w:val="5F144EBE"/>
    <w:rsid w:val="668B3C99"/>
    <w:rsid w:val="6B741798"/>
    <w:rsid w:val="7D79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kern w:val="0"/>
      <w:sz w:val="20"/>
    </w:rPr>
  </w:style>
  <w:style w:type="paragraph" w:styleId="3">
    <w:name w:val="toc 2"/>
    <w:basedOn w:val="1"/>
    <w:next w:val="1"/>
    <w:qFormat/>
    <w:uiPriority w:val="0"/>
    <w:pPr>
      <w:ind w:left="210"/>
      <w:jc w:val="left"/>
    </w:pPr>
    <w:rPr>
      <w:smallCaps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94</Words>
  <Characters>538</Characters>
  <Lines>4</Lines>
  <Paragraphs>1</Paragraphs>
  <TotalTime>1391</TotalTime>
  <ScaleCrop>false</ScaleCrop>
  <LinksUpToDate>false</LinksUpToDate>
  <CharactersWithSpaces>631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2020-07-06T09:58:00Z</dcterms:created>
  <dc:creator>user</dc:creator>
  <cp:lastModifiedBy>lenovo</cp:lastModifiedBy>
  <dcterms:modified xsi:type="dcterms:W3CDTF">2024-08-13T08:31:18Z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B18ACAAC4A5B4AFC8F7496A2E54464AD_13</vt:lpwstr>
  </property>
</Properties>
</file>