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农业农村局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2022年玉田县第二批中央预算内高标准农田建设项目</w:t>
      </w: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基本情况</w:t>
      </w:r>
    </w:p>
    <w:p>
      <w:pPr>
        <w:spacing w:line="600" w:lineRule="exact"/>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eastAsia="zh-CN"/>
        </w:rPr>
        <w:t>（一）</w:t>
      </w:r>
      <w:r>
        <w:rPr>
          <w:rFonts w:hint="eastAsia" w:ascii="仿宋_GB2312" w:hAnsi="Times New Roman" w:eastAsia="仿宋_GB2312" w:cs="Times New Roman"/>
          <w:sz w:val="32"/>
          <w:szCs w:val="32"/>
          <w:lang w:val="en-US" w:eastAsia="zh-CN"/>
        </w:rPr>
        <w:t>2022年玉田县第</w:t>
      </w:r>
      <w:r>
        <w:rPr>
          <w:rFonts w:hint="eastAsia" w:ascii="仿宋_GB2312" w:eastAsia="仿宋_GB2312" w:cs="Times New Roman"/>
          <w:sz w:val="32"/>
          <w:szCs w:val="32"/>
          <w:lang w:val="en-US" w:eastAsia="zh-CN"/>
        </w:rPr>
        <w:t>二</w:t>
      </w:r>
      <w:r>
        <w:rPr>
          <w:rFonts w:hint="eastAsia" w:ascii="仿宋_GB2312" w:hAnsi="Times New Roman" w:eastAsia="仿宋_GB2312" w:cs="Times New Roman"/>
          <w:sz w:val="32"/>
          <w:szCs w:val="32"/>
          <w:lang w:val="en-US" w:eastAsia="zh-CN"/>
        </w:rPr>
        <w:t>批</w:t>
      </w:r>
      <w:r>
        <w:rPr>
          <w:rFonts w:hint="eastAsia" w:ascii="仿宋_GB2312" w:eastAsia="仿宋_GB2312" w:cs="Times New Roman"/>
          <w:sz w:val="32"/>
          <w:szCs w:val="32"/>
          <w:lang w:val="en-US" w:eastAsia="zh-CN"/>
        </w:rPr>
        <w:t>中央预算内</w:t>
      </w:r>
      <w:r>
        <w:rPr>
          <w:rFonts w:hint="eastAsia" w:ascii="仿宋_GB2312" w:hAnsi="Times New Roman" w:eastAsia="仿宋_GB2312" w:cs="Times New Roman"/>
          <w:sz w:val="32"/>
          <w:szCs w:val="32"/>
          <w:lang w:val="en-US" w:eastAsia="zh-CN"/>
        </w:rPr>
        <w:t>高标准农田建设项目</w:t>
      </w:r>
      <w:r>
        <w:rPr>
          <w:rFonts w:hint="eastAsia" w:ascii="仿宋_GB2312" w:hAnsi="Times New Roman" w:eastAsia="仿宋_GB2312" w:cs="Times New Roman"/>
          <w:sz w:val="32"/>
          <w:szCs w:val="32"/>
          <w:lang w:eastAsia="zh-CN"/>
        </w:rPr>
        <w:t>，总投资</w:t>
      </w:r>
      <w:r>
        <w:rPr>
          <w:rFonts w:hint="eastAsia" w:ascii="仿宋_GB2312" w:eastAsia="仿宋_GB2312" w:cs="Times New Roman"/>
          <w:sz w:val="32"/>
          <w:szCs w:val="32"/>
          <w:lang w:val="en-US" w:eastAsia="zh-CN"/>
        </w:rPr>
        <w:t>6685</w:t>
      </w:r>
      <w:r>
        <w:rPr>
          <w:rFonts w:hint="eastAsia" w:ascii="仿宋_GB2312" w:hAnsi="Times New Roman" w:eastAsia="仿宋_GB2312" w:cs="Times New Roman"/>
          <w:sz w:val="32"/>
          <w:szCs w:val="32"/>
          <w:lang w:val="en-US" w:eastAsia="zh-CN"/>
        </w:rPr>
        <w:t>万元，建设面积5万亩，主要建设内容：</w:t>
      </w:r>
      <w:r>
        <w:rPr>
          <w:rFonts w:hint="eastAsia" w:ascii="仿宋_GB2312" w:hAnsi="Times New Roman" w:eastAsia="仿宋_GB2312" w:cs="Times New Roman"/>
          <w:sz w:val="32"/>
          <w:szCs w:val="32"/>
          <w:lang w:eastAsia="zh-CN"/>
        </w:rPr>
        <w:t>灌溉排水与节水措施、</w:t>
      </w:r>
      <w:r>
        <w:rPr>
          <w:rFonts w:hint="eastAsia" w:ascii="仿宋_GB2312" w:hAnsi="Times New Roman" w:eastAsia="仿宋_GB2312" w:cs="Times New Roman"/>
          <w:sz w:val="32"/>
          <w:szCs w:val="32"/>
        </w:rPr>
        <w:t>田间道路工程措施</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农田输配电工程措施</w:t>
      </w:r>
      <w:r>
        <w:rPr>
          <w:rFonts w:hint="eastAsia" w:ascii="仿宋_GB2312" w:hAnsi="Times New Roman" w:eastAsia="仿宋_GB2312" w:cs="Times New Roman"/>
          <w:sz w:val="32"/>
          <w:szCs w:val="32"/>
          <w:lang w:eastAsia="zh-CN"/>
        </w:rPr>
        <w:t>、地力提升工程。目前工程已经完工，正在进行竣工测量阶段，本次申请工程建设费用</w:t>
      </w:r>
      <w:r>
        <w:rPr>
          <w:rFonts w:hint="eastAsia" w:ascii="仿宋_GB2312" w:eastAsia="仿宋_GB2312" w:cs="Times New Roman"/>
          <w:sz w:val="32"/>
          <w:szCs w:val="32"/>
          <w:lang w:val="en-US" w:eastAsia="zh-CN"/>
        </w:rPr>
        <w:t>3547.19</w:t>
      </w:r>
      <w:bookmarkStart w:id="0" w:name="_GoBack"/>
      <w:bookmarkEnd w:id="0"/>
      <w:r>
        <w:rPr>
          <w:rFonts w:hint="eastAsia" w:ascii="仿宋_GB2312" w:hAnsi="Times New Roman" w:eastAsia="仿宋_GB2312" w:cs="Times New Roman"/>
          <w:sz w:val="32"/>
          <w:szCs w:val="32"/>
          <w:lang w:val="en-US" w:eastAsia="zh-CN"/>
        </w:rPr>
        <w:t>万元。</w:t>
      </w:r>
    </w:p>
    <w:p>
      <w:pPr>
        <w:ind w:firstLine="640" w:firstLineChars="200"/>
        <w:rPr>
          <w:rFonts w:hint="default" w:ascii="仿宋_GB2312" w:eastAsia="方正仿宋_GBK"/>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为了搞好本项目，玉田县成立了以主管农业的副县长任组长，农业、水利、国土、发改、财政等部门的主要领导为成员的项目建设领导小组，负责对项目建设进行综合指导，科学决策，协调联动，统筹规划。县农业农村局负责项目的统一规划、计划实施、监督管理、竣工验收和资金的拨付、使用监督等工作</w:t>
      </w:r>
      <w:r>
        <w:rPr>
          <w:rFonts w:eastAsia="仿宋_GB2312"/>
          <w:color w:val="auto"/>
          <w:szCs w:val="28"/>
        </w:rPr>
        <w:t>。</w:t>
      </w:r>
      <w:r>
        <w:rPr>
          <w:rFonts w:hint="eastAsia" w:ascii="仿宋_GB2312" w:eastAsia="仿宋_GB2312"/>
          <w:sz w:val="32"/>
          <w:szCs w:val="32"/>
          <w:lang w:eastAsia="zh-CN"/>
        </w:rPr>
        <w:t>经过组织县内有关部门和技术人员的充分调研勘察，可使项目区的农产品结构更趋合理，农业和农村经济得到新的更快发展。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为了搞好本项目，玉田县成立了以主管农业的副县长任组长，农业、水利、国土、发改、财政等部门的主要领导为成员的项目建设领导小组，负责对项目建设进行综合指导，科学决策，协调联动，统筹规划。县农业农村局负责项目的统一规划、计划实施、监督管理、竣工验收和资金的拨付、使用监督等工作</w:t>
      </w:r>
      <w:r>
        <w:rPr>
          <w:rFonts w:eastAsia="仿宋_GB2312"/>
          <w:color w:val="auto"/>
          <w:szCs w:val="28"/>
        </w:rPr>
        <w:t>。</w:t>
      </w:r>
      <w:r>
        <w:rPr>
          <w:rFonts w:hint="eastAsia" w:ascii="仿宋_GB2312" w:eastAsia="仿宋_GB2312"/>
          <w:sz w:val="32"/>
          <w:szCs w:val="32"/>
          <w:lang w:eastAsia="zh-CN"/>
        </w:rPr>
        <w:t>经过组织县内有关部门和技术人员的充分调研勘察，可使项目区的农产品结构更趋合理，农业和农村经济得到新的更快发展。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该项目针对各支持项目设置明确合理的项目绩效目标，明确了项目区建设前后在设施健全、产能提高、农户收益等方面，并且指向明确、细化量化、合理可行、相应匹配，在开展绩效自评工作中规范完整、真实准确，在一定范围内公开绩效自评结果</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项目实施后，由于采取了农业服务体系的建设，农田基础设施条件有较大的改善，农田灌溉率有保障，技术水平有明显提高，项目区粮食及经济作物产量明显增加。</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综合评价情况及评价结论</w:t>
      </w:r>
    </w:p>
    <w:p>
      <w:pPr>
        <w:pStyle w:val="6"/>
        <w:ind w:firstLine="560"/>
      </w:pPr>
      <w:r>
        <w:rPr>
          <w:sz w:val="32"/>
          <w:szCs w:val="32"/>
        </w:rPr>
        <w:t>项目实施后，</w:t>
      </w:r>
      <w:r>
        <w:rPr>
          <w:rFonts w:hint="eastAsia"/>
          <w:sz w:val="32"/>
          <w:szCs w:val="32"/>
        </w:rPr>
        <w:t>对农田道路、灌溉、排水、节水及输配电设施、的健全不仅提升了农业生产条件还促进耕地质量，同时田间道路的建设通达率均达到了100%；</w:t>
      </w:r>
      <w:r>
        <w:rPr>
          <w:sz w:val="32"/>
          <w:szCs w:val="32"/>
        </w:rPr>
        <w:t>由于采取了田间工程和地力建设等措施，农田基础设施条件有较大的改善，农田灌溉率有保障，技术水平有明显提高，项目区粮食及经济作物产量明显增加</w:t>
      </w:r>
      <w:r>
        <w:rPr>
          <w:rFonts w:hint="eastAsia"/>
          <w:sz w:val="32"/>
          <w:szCs w:val="32"/>
        </w:rPr>
        <w:t>，</w:t>
      </w:r>
      <w:r>
        <w:rPr>
          <w:sz w:val="32"/>
          <w:szCs w:val="32"/>
        </w:rPr>
        <w:t>丰富、优质的农产品不仅满足市场需要，而且对农业增效、农民增收、农村发展起到积极的推动作用，还可解决部分农村剩余劳动力的就业问题，有效地改善和提高项目区农民的生活水平</w:t>
      </w:r>
      <w:r>
        <w:rPr>
          <w:rFonts w:hint="eastAsia"/>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6"/>
        <w:ind w:firstLine="56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sz w:val="32"/>
          <w:szCs w:val="32"/>
          <w:lang w:eastAsia="zh-CN"/>
        </w:rPr>
        <w:t>总投资</w:t>
      </w:r>
      <w:r>
        <w:rPr>
          <w:rFonts w:hint="eastAsia"/>
          <w:sz w:val="32"/>
          <w:szCs w:val="32"/>
          <w:lang w:val="en-US" w:eastAsia="zh-CN"/>
        </w:rPr>
        <w:t>6685</w:t>
      </w:r>
      <w:r>
        <w:rPr>
          <w:rFonts w:hint="eastAsia"/>
          <w:sz w:val="32"/>
          <w:szCs w:val="32"/>
        </w:rPr>
        <w:t>万元，</w:t>
      </w:r>
      <w:r>
        <w:rPr>
          <w:rFonts w:hint="eastAsia" w:ascii="仿宋_GB2312" w:eastAsia="仿宋_GB2312"/>
          <w:sz w:val="32"/>
          <w:szCs w:val="32"/>
        </w:rPr>
        <w:t>其中：中央财政资金</w:t>
      </w:r>
      <w:r>
        <w:rPr>
          <w:rFonts w:hint="eastAsia"/>
          <w:sz w:val="32"/>
          <w:szCs w:val="32"/>
          <w:lang w:val="en-US" w:eastAsia="zh-CN"/>
        </w:rPr>
        <w:t>5347</w:t>
      </w:r>
      <w:r>
        <w:rPr>
          <w:rFonts w:hint="eastAsia" w:ascii="仿宋_GB2312" w:eastAsia="仿宋_GB2312"/>
          <w:sz w:val="32"/>
          <w:szCs w:val="32"/>
        </w:rPr>
        <w:t>万元，省</w:t>
      </w:r>
      <w:r>
        <w:rPr>
          <w:rFonts w:hint="eastAsia" w:ascii="仿宋_GB2312" w:eastAsia="仿宋_GB2312"/>
          <w:sz w:val="32"/>
          <w:szCs w:val="32"/>
          <w:lang w:eastAsia="zh-CN"/>
        </w:rPr>
        <w:t>级</w:t>
      </w:r>
      <w:r>
        <w:rPr>
          <w:rFonts w:hint="eastAsia" w:ascii="仿宋_GB2312" w:eastAsia="仿宋_GB2312"/>
          <w:sz w:val="32"/>
          <w:szCs w:val="32"/>
        </w:rPr>
        <w:t>资金</w:t>
      </w:r>
      <w:r>
        <w:rPr>
          <w:rFonts w:hint="eastAsia"/>
          <w:sz w:val="32"/>
          <w:szCs w:val="32"/>
          <w:lang w:val="en-US" w:eastAsia="zh-CN"/>
        </w:rPr>
        <w:t>669</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sz w:val="32"/>
          <w:szCs w:val="32"/>
          <w:lang w:eastAsia="zh-CN"/>
        </w:rPr>
        <w:t>县级配套</w:t>
      </w:r>
      <w:r>
        <w:rPr>
          <w:rFonts w:hint="eastAsia"/>
          <w:sz w:val="32"/>
          <w:szCs w:val="32"/>
          <w:lang w:val="en-US" w:eastAsia="zh-CN"/>
        </w:rPr>
        <w:t>669万元，</w:t>
      </w:r>
      <w:r>
        <w:rPr>
          <w:rFonts w:hint="eastAsia"/>
          <w:sz w:val="32"/>
          <w:szCs w:val="32"/>
        </w:rPr>
        <w:t>资金的投入与预期效益匹配</w:t>
      </w:r>
      <w:r>
        <w:rPr>
          <w:rFonts w:hint="eastAsia"/>
          <w:sz w:val="32"/>
          <w:szCs w:val="32"/>
          <w:lang w:eastAsia="zh-CN"/>
        </w:rPr>
        <w:t>，</w:t>
      </w:r>
      <w:r>
        <w:rPr>
          <w:rFonts w:hint="eastAsia" w:ascii="仿宋_GB2312" w:hAnsi="Times New Roman" w:eastAsia="仿宋_GB2312" w:cs="Times New Roman"/>
          <w:sz w:val="32"/>
          <w:szCs w:val="32"/>
          <w:lang w:val="en-US" w:eastAsia="zh-CN"/>
        </w:rPr>
        <w:t>建设面积</w:t>
      </w:r>
      <w:r>
        <w:rPr>
          <w:rFonts w:hint="eastAsia" w:hAnsi="Times New Roman" w:cs="Times New Roman"/>
          <w:sz w:val="32"/>
          <w:szCs w:val="32"/>
          <w:lang w:val="en-US" w:eastAsia="zh-CN"/>
        </w:rPr>
        <w:t>5</w:t>
      </w:r>
      <w:r>
        <w:rPr>
          <w:rFonts w:hint="eastAsia" w:ascii="仿宋_GB2312" w:hAnsi="Times New Roman" w:eastAsia="仿宋_GB2312" w:cs="Times New Roman"/>
          <w:sz w:val="32"/>
          <w:szCs w:val="32"/>
          <w:lang w:val="en-US" w:eastAsia="zh-CN"/>
        </w:rPr>
        <w:t>万亩</w:t>
      </w:r>
      <w:r>
        <w:rPr>
          <w:rFonts w:hint="eastAsia" w:hAnsi="Times New Roman" w:cs="Times New Roman"/>
          <w:sz w:val="32"/>
          <w:szCs w:val="32"/>
          <w:lang w:val="en-US" w:eastAsia="zh-CN"/>
        </w:rPr>
        <w:t>。</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该项目于</w:t>
      </w:r>
      <w:r>
        <w:rPr>
          <w:rFonts w:hint="eastAsia" w:ascii="仿宋_GB2312" w:eastAsia="仿宋_GB2312"/>
          <w:sz w:val="32"/>
          <w:szCs w:val="32"/>
          <w:lang w:val="en-US" w:eastAsia="zh-CN"/>
        </w:rPr>
        <w:t>2022年10月份开工，</w:t>
      </w:r>
      <w:r>
        <w:rPr>
          <w:rFonts w:hint="eastAsia" w:ascii="仿宋_GB2312" w:eastAsia="仿宋_GB2312" w:cs="Times New Roman"/>
          <w:sz w:val="32"/>
          <w:szCs w:val="32"/>
          <w:lang w:val="en-US" w:eastAsia="zh-CN"/>
        </w:rPr>
        <w:t>2023月7月底完工，预计12月底完成资金拨付工作。</w:t>
      </w:r>
    </w:p>
    <w:p>
      <w:pPr>
        <w:pStyle w:val="6"/>
        <w:rPr>
          <w:rFonts w:hint="eastAsia" w:ascii="仿宋_GB2312" w:hAnsi="Times New Roman" w:eastAsia="仿宋_GB2312" w:cs="Times New Roman"/>
          <w:sz w:val="32"/>
          <w:szCs w:val="32"/>
        </w:rPr>
      </w:pPr>
      <w:r>
        <w:rPr>
          <w:rFonts w:hint="eastAsia" w:ascii="仿宋_GB2312" w:eastAsia="仿宋_GB2312"/>
          <w:sz w:val="32"/>
          <w:szCs w:val="32"/>
        </w:rPr>
        <w:t>（三）项目产出情况。</w:t>
      </w:r>
      <w:r>
        <w:rPr>
          <w:rFonts w:hint="default" w:ascii="仿宋_GB2312" w:hAnsi="Times New Roman" w:eastAsia="仿宋_GB2312" w:cs="Times New Roman"/>
          <w:kern w:val="2"/>
          <w:sz w:val="32"/>
          <w:szCs w:val="32"/>
          <w:lang w:val="en-US" w:eastAsia="zh-CN" w:bidi="ar-SA"/>
        </w:rPr>
        <w:t>项目实施后，项目区耕地种植玉米23000亩，小麦15000亩，蔬菜2000亩。由于生产条件的改善，农产品产量将大大增加，项目实施后总产值达到6759万元，年纯收入达到5398万元。通过项目实施，年新增利润667万元。</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pStyle w:val="6"/>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社会效益，</w:t>
      </w:r>
      <w:r>
        <w:rPr>
          <w:rFonts w:hint="default" w:ascii="仿宋_GB2312" w:hAnsi="Times New Roman" w:eastAsia="仿宋_GB2312" w:cs="Times New Roman"/>
          <w:kern w:val="2"/>
          <w:sz w:val="32"/>
          <w:szCs w:val="32"/>
          <w:lang w:val="en-US" w:eastAsia="zh-CN" w:bidi="ar-SA"/>
        </w:rPr>
        <w:t>项目的实施，使项目区农业生产基础设施条件得到极大改善，实现了有限水资源的充分、合理利用，同时优化农业种植结构后，提高了农产品产量和质量；丰富、优质的农产品不仅满足市场需要，而且对农业增效、农民增收、农村发展起到积极的推动作用，还可解决部分农村剩余劳动力的就业问题，有效地改善和提高项目区农民的生活水平。</w:t>
      </w:r>
    </w:p>
    <w:p>
      <w:pPr>
        <w:pStyle w:val="6"/>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经济效益，</w:t>
      </w:r>
      <w:r>
        <w:rPr>
          <w:rFonts w:hint="default" w:ascii="仿宋_GB2312" w:hAnsi="Times New Roman" w:eastAsia="仿宋_GB2312" w:cs="Times New Roman"/>
          <w:kern w:val="2"/>
          <w:sz w:val="32"/>
          <w:szCs w:val="32"/>
          <w:lang w:val="en-US" w:eastAsia="zh-CN" w:bidi="ar-SA"/>
        </w:rPr>
        <w:t>项目实施后，由于采取了田间工程和地力建设等措施，农田基础设施条件有较大的改善，农田灌溉率有保障，技术水平有明显提高，项目区粮食及经济作物产量明显增加。</w:t>
      </w:r>
    </w:p>
    <w:p>
      <w:pPr>
        <w:pStyle w:val="6"/>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环境效益可持续影响、</w:t>
      </w:r>
      <w:r>
        <w:rPr>
          <w:rFonts w:hint="default" w:ascii="仿宋_GB2312" w:hAnsi="Times New Roman" w:eastAsia="仿宋_GB2312" w:cs="Times New Roman"/>
          <w:kern w:val="2"/>
          <w:sz w:val="32"/>
          <w:szCs w:val="32"/>
          <w:lang w:val="en-US" w:eastAsia="zh-CN" w:bidi="ar-SA"/>
        </w:rPr>
        <w:t>项目建成后，通过水利措施改善灌溉面积</w:t>
      </w:r>
      <w:r>
        <w:rPr>
          <w:rFonts w:hint="eastAsia" w:hAnsi="Times New Roman" w:cs="Times New Roman"/>
          <w:kern w:val="2"/>
          <w:sz w:val="32"/>
          <w:szCs w:val="32"/>
          <w:lang w:val="en-US" w:eastAsia="zh-CN" w:bidi="ar-SA"/>
        </w:rPr>
        <w:t>5</w:t>
      </w:r>
      <w:r>
        <w:rPr>
          <w:rFonts w:hint="eastAsia" w:ascii="仿宋_GB2312" w:hAnsi="Times New Roman" w:eastAsia="仿宋_GB2312" w:cs="Times New Roman"/>
          <w:kern w:val="2"/>
          <w:sz w:val="32"/>
          <w:szCs w:val="32"/>
          <w:lang w:val="en-US" w:eastAsia="zh-CN" w:bidi="ar-SA"/>
        </w:rPr>
        <w:t>0000</w:t>
      </w:r>
      <w:r>
        <w:rPr>
          <w:rFonts w:hint="default" w:ascii="仿宋_GB2312" w:hAnsi="Times New Roman" w:eastAsia="仿宋_GB2312" w:cs="Times New Roman"/>
          <w:kern w:val="2"/>
          <w:sz w:val="32"/>
          <w:szCs w:val="32"/>
          <w:lang w:val="en-US" w:eastAsia="zh-CN" w:bidi="ar-SA"/>
        </w:rPr>
        <w:t>亩，提高了项目区抵御自然灾害的能力。田间小气候将得到明显改善，农作物得到有效防护。通过</w:t>
      </w:r>
      <w:r>
        <w:rPr>
          <w:rFonts w:hint="eastAsia" w:ascii="仿宋_GB2312" w:hAnsi="Times New Roman" w:eastAsia="仿宋_GB2312" w:cs="Times New Roman"/>
          <w:kern w:val="2"/>
          <w:sz w:val="32"/>
          <w:szCs w:val="32"/>
          <w:lang w:val="en-US" w:eastAsia="zh-CN" w:bidi="ar-SA"/>
        </w:rPr>
        <w:t>深耕深松和</w:t>
      </w:r>
      <w:r>
        <w:rPr>
          <w:rFonts w:hint="default" w:ascii="仿宋_GB2312" w:hAnsi="Times New Roman" w:eastAsia="仿宋_GB2312" w:cs="Times New Roman"/>
          <w:kern w:val="2"/>
          <w:sz w:val="32"/>
          <w:szCs w:val="32"/>
          <w:lang w:val="en-US" w:eastAsia="zh-CN" w:bidi="ar-SA"/>
        </w:rPr>
        <w:t>增施</w:t>
      </w:r>
      <w:r>
        <w:rPr>
          <w:rFonts w:hint="eastAsia" w:ascii="仿宋_GB2312" w:hAnsi="Times New Roman" w:eastAsia="仿宋_GB2312" w:cs="Times New Roman"/>
          <w:kern w:val="2"/>
          <w:sz w:val="32"/>
          <w:szCs w:val="32"/>
          <w:lang w:val="en-US" w:eastAsia="zh-CN" w:bidi="ar-SA"/>
        </w:rPr>
        <w:t>配方肥</w:t>
      </w:r>
      <w:r>
        <w:rPr>
          <w:rFonts w:hint="default" w:ascii="仿宋_GB2312" w:hAnsi="Times New Roman" w:eastAsia="仿宋_GB2312" w:cs="Times New Roman"/>
          <w:kern w:val="2"/>
          <w:sz w:val="32"/>
          <w:szCs w:val="32"/>
          <w:lang w:val="en-US" w:eastAsia="zh-CN" w:bidi="ar-SA"/>
        </w:rPr>
        <w:t>，有效改善了土壤环境，增加了土壤有机质含量，促进了土壤有机质的分解，改善了土壤理化性质。严禁使用高残留农药，降低了土壤和空气污染，有利于农作物生长和居民生活环境的优化。通过综合治理，项目区达到田成方、林成网、渠相通、路相连、土地平坦的高标准粮田，项目区生态面貌得到巨大的改善，生态效益十分显著。</w:t>
      </w:r>
    </w:p>
    <w:p>
      <w:pPr>
        <w:pStyle w:val="6"/>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服务对象满意度，农民还有扶持对象对政策实施的满意度均达到了95%以上。</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widowControl/>
        <w:adjustRightInd w:val="0"/>
        <w:snapToGrid w:val="0"/>
        <w:spacing w:line="560" w:lineRule="exact"/>
        <w:ind w:firstLine="640" w:firstLineChars="200"/>
        <w:jc w:val="left"/>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一是计划在原项目区利用结余资金，增加与完善变压器增容、更新与低压线改造、田间道路等建设内容，用足用好</w:t>
      </w:r>
      <w:r>
        <w:rPr>
          <w:rFonts w:hint="eastAsia" w:ascii="仿宋_GB2312" w:hAnsi="Times New Roman" w:eastAsia="仿宋_GB2312" w:cs="Times New Roman"/>
          <w:sz w:val="32"/>
          <w:szCs w:val="32"/>
        </w:rPr>
        <w:t>项目</w:t>
      </w:r>
      <w:r>
        <w:rPr>
          <w:rFonts w:hint="eastAsia" w:ascii="仿宋_GB2312" w:hAnsi="Times New Roman" w:eastAsia="仿宋_GB2312" w:cs="Times New Roman"/>
          <w:sz w:val="32"/>
          <w:szCs w:val="32"/>
          <w:lang w:val="en-US" w:eastAsia="zh-CN"/>
        </w:rPr>
        <w:t>结余资金。二是加快项目竣工验收工作步伐，规范完成项目结算审核、审计，整合项目结余资金，统筹安排使用方向。三是加大高标准农田建设投入，确保我县农田建设高标准、高效能。</w:t>
      </w:r>
    </w:p>
    <w:p>
      <w:pPr>
        <w:numPr>
          <w:ilvl w:val="0"/>
          <w:numId w:val="0"/>
        </w:numPr>
        <w:spacing w:line="600" w:lineRule="exact"/>
        <w:ind w:firstLine="640" w:firstLineChars="200"/>
        <w:rPr>
          <w:rFonts w:hint="eastAsia" w:eastAsia="黑体"/>
          <w:sz w:val="32"/>
          <w:szCs w:val="32"/>
        </w:rPr>
      </w:pPr>
      <w:r>
        <w:rPr>
          <w:rFonts w:hint="eastAsia" w:ascii="方正仿宋简体" w:hAnsi="方正仿宋简体" w:eastAsia="方正仿宋简体" w:cs="方正仿宋简体"/>
          <w:b w:val="0"/>
          <w:bCs w:val="0"/>
          <w:color w:val="auto"/>
          <w:sz w:val="32"/>
          <w:szCs w:val="32"/>
          <w:lang w:val="en-US" w:eastAsia="zh-CN"/>
        </w:rPr>
        <w:t>六、</w:t>
      </w:r>
      <w:r>
        <w:rPr>
          <w:rFonts w:hint="eastAsia" w:eastAsia="黑体"/>
          <w:sz w:val="32"/>
          <w:szCs w:val="32"/>
        </w:rPr>
        <w:t>有关建议</w:t>
      </w:r>
    </w:p>
    <w:p>
      <w:pPr>
        <w:widowControl/>
        <w:adjustRightInd w:val="0"/>
        <w:snapToGrid w:val="0"/>
        <w:spacing w:line="560" w:lineRule="exact"/>
        <w:ind w:firstLine="640" w:firstLineChars="200"/>
        <w:jc w:val="left"/>
      </w:pPr>
      <w:r>
        <w:rPr>
          <w:rFonts w:hint="eastAsia" w:ascii="仿宋_GB2312" w:eastAsia="仿宋_GB2312"/>
          <w:sz w:val="32"/>
          <w:szCs w:val="32"/>
        </w:rPr>
        <w:t>综合以上评估情况，该项目立项依据充分,目标合理，方案可行，资金预算科学，建议予以支持。</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2F2F83"/>
    <w:multiLevelType w:val="singleLevel"/>
    <w:tmpl w:val="E72F2F83"/>
    <w:lvl w:ilvl="0" w:tentative="0">
      <w:start w:val="1"/>
      <w:numFmt w:val="chineseCounting"/>
      <w:suff w:val="nothing"/>
      <w:lvlText w:val="%1、"/>
      <w:lvlJc w:val="left"/>
      <w:rPr>
        <w:rFonts w:hint="eastAsia"/>
      </w:rPr>
    </w:lvl>
  </w:abstractNum>
  <w:abstractNum w:abstractNumId="1">
    <w:nsid w:val="3640D055"/>
    <w:multiLevelType w:val="singleLevel"/>
    <w:tmpl w:val="3640D055"/>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C9551D"/>
    <w:rsid w:val="226D3DBE"/>
    <w:rsid w:val="27C955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line="480" w:lineRule="exact"/>
    </w:pPr>
    <w:rPr>
      <w:rFonts w:ascii="宋体" w:hAnsi="宋体"/>
      <w:sz w:val="28"/>
    </w:rPr>
  </w:style>
  <w:style w:type="paragraph" w:styleId="3">
    <w:name w:val="Body Text 2"/>
    <w:basedOn w:val="1"/>
    <w:qFormat/>
    <w:uiPriority w:val="0"/>
    <w:pPr>
      <w:spacing w:line="520" w:lineRule="exact"/>
    </w:pPr>
    <w:rPr>
      <w:rFonts w:ascii="宋体" w:hAnsi="宋体"/>
    </w:rPr>
  </w:style>
  <w:style w:type="paragraph" w:customStyle="1" w:styleId="6">
    <w:name w:val="正文格式"/>
    <w:basedOn w:val="1"/>
    <w:qFormat/>
    <w:uiPriority w:val="0"/>
    <w:pPr>
      <w:ind w:firstLine="600"/>
    </w:pPr>
    <w:rPr>
      <w:rFonts w:ascii="仿宋_GB2312" w:hAnsi="宋体" w:eastAsia="仿宋_GB2312" w:cs="宋体"/>
      <w:kern w:val="0"/>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2024-04-19T00:54:00Z</dcterms:created>
  <dc:creator>Administrator</dc:creator>
  <cp:lastModifiedBy>Administrator</cp:lastModifiedBy>
  <dcterms:modified xsi:type="dcterms:W3CDTF">2024-04-19T00:56:04Z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