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农村实用人才培训</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hAnsi="仿宋_GB2312" w:eastAsia="仿宋_GB2312" w:cs="仿宋_GB2312"/>
          <w:sz w:val="32"/>
          <w:szCs w:val="32"/>
          <w:lang w:val="zh-CN"/>
        </w:rPr>
        <w:t>按照《中共中央组织部办公厅、农业农村部办公厅关于开展20</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年农村实用人才带头人和到村任职、按照大学生村官管理的选调生培训计划的通知》（农办人〔20</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zh-CN"/>
        </w:rPr>
        <w:t>号）、</w:t>
      </w:r>
      <w:r>
        <w:rPr>
          <w:rFonts w:hint="eastAsia" w:ascii="仿宋_GB2312" w:hAnsi="仿宋_GB2312" w:eastAsia="仿宋_GB2312" w:cs="仿宋_GB2312"/>
          <w:sz w:val="32"/>
          <w:szCs w:val="32"/>
        </w:rPr>
        <w:t>河北省农业农村厅《关于做好202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年农村实用人才带头人培训工作的通知》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冀农</w:t>
      </w:r>
      <w:r>
        <w:rPr>
          <w:rFonts w:hint="eastAsia" w:ascii="仿宋_GB2312" w:hAnsi="仿宋_GB2312" w:eastAsia="仿宋_GB2312" w:cs="仿宋_GB2312"/>
          <w:sz w:val="32"/>
          <w:szCs w:val="32"/>
          <w:lang w:val="en-US" w:eastAsia="zh-CN"/>
        </w:rPr>
        <w:t>字</w:t>
      </w: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lang w:val="zh-CN"/>
        </w:rPr>
        <w:t>号）</w:t>
      </w:r>
      <w:r>
        <w:rPr>
          <w:rFonts w:hint="eastAsia" w:ascii="仿宋_GB2312" w:hAnsi="仿宋_GB2312" w:eastAsia="仿宋_GB2312" w:cs="仿宋_GB2312"/>
          <w:sz w:val="32"/>
          <w:szCs w:val="32"/>
          <w:lang w:val="en-US" w:eastAsia="zh-CN"/>
        </w:rPr>
        <w:t>以及中共河北省委组织部《关于选调学员参加中组部、农业农村部2023年有关主题培训班的通知》</w:t>
      </w:r>
      <w:r>
        <w:rPr>
          <w:rFonts w:hint="eastAsia" w:ascii="仿宋_GB2312" w:hAnsi="仿宋_GB2312" w:eastAsia="仿宋_GB2312" w:cs="仿宋_GB2312"/>
          <w:sz w:val="32"/>
          <w:szCs w:val="32"/>
          <w:lang w:val="zh-CN"/>
        </w:rPr>
        <w:t>的有关要求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玉田县今年承担了</w:t>
      </w:r>
      <w:r>
        <w:rPr>
          <w:rFonts w:hint="eastAsia" w:ascii="仿宋_GB2312" w:hAnsi="仿宋_GB2312" w:eastAsia="仿宋_GB2312" w:cs="仿宋_GB2312"/>
          <w:sz w:val="32"/>
          <w:szCs w:val="32"/>
          <w:lang w:val="en-US" w:eastAsia="zh-CN"/>
        </w:rPr>
        <w:t>500人的培训任务，由玉田县刘现庄培训基地</w:t>
      </w:r>
      <w:r>
        <w:rPr>
          <w:rFonts w:hint="eastAsia" w:ascii="仿宋_GB2312" w:hAnsi="仿宋_GB2312" w:eastAsia="仿宋_GB2312" w:cs="仿宋_GB2312"/>
          <w:sz w:val="32"/>
          <w:szCs w:val="32"/>
          <w:lang w:eastAsia="zh-CN"/>
        </w:rPr>
        <w:t>具体组织实施。</w:t>
      </w:r>
      <w:r>
        <w:rPr>
          <w:rFonts w:hint="eastAsia" w:ascii="仿宋" w:hAnsi="仿宋" w:eastAsia="仿宋" w:cs="仿宋"/>
          <w:bCs/>
          <w:sz w:val="32"/>
          <w:szCs w:val="32"/>
          <w:lang w:eastAsia="zh-CN"/>
        </w:rPr>
        <w:t>总补助资金</w:t>
      </w:r>
      <w:r>
        <w:rPr>
          <w:rFonts w:hint="eastAsia" w:ascii="仿宋" w:hAnsi="仿宋" w:eastAsia="仿宋" w:cs="仿宋"/>
          <w:bCs/>
          <w:sz w:val="32"/>
          <w:szCs w:val="32"/>
          <w:lang w:val="en-US" w:eastAsia="zh-CN"/>
        </w:rPr>
        <w:t>150万元。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开展农村实用人才培训500人。</w:t>
      </w:r>
    </w:p>
    <w:p>
      <w:pPr>
        <w:spacing w:line="600" w:lineRule="exact"/>
        <w:ind w:firstLine="640" w:firstLineChars="200"/>
        <w:rPr>
          <w:rFonts w:eastAsia="黑体"/>
          <w:sz w:val="32"/>
          <w:szCs w:val="32"/>
        </w:rPr>
      </w:pPr>
      <w:r>
        <w:rPr>
          <w:rFonts w:hint="eastAsia" w:eastAsia="黑体"/>
          <w:sz w:val="32"/>
          <w:szCs w:val="32"/>
        </w:rPr>
        <w:t>二、绩效评价指标分析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项目目标为开展农村实用人才培训500人。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highlight w:val="none"/>
          <w:lang w:val="en-US" w:eastAsia="zh-CN"/>
        </w:rPr>
        <w:t>0%</w:t>
      </w:r>
      <w:r>
        <w:rPr>
          <w:rFonts w:hint="eastAsia" w:ascii="仿宋_GB2312" w:eastAsia="仿宋_GB2312"/>
          <w:sz w:val="32"/>
          <w:szCs w:val="32"/>
          <w:lang w:val="en-US"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产出数量为开展农村实用人才培训50</w:t>
      </w:r>
      <w:r>
        <w:rPr>
          <w:rFonts w:hint="eastAsia" w:ascii="仿宋_GB2312" w:eastAsia="仿宋_GB2312"/>
          <w:sz w:val="32"/>
          <w:szCs w:val="32"/>
          <w:lang w:val="en-US" w:eastAsia="zh-CN"/>
        </w:rPr>
        <w:t>4</w:t>
      </w:r>
      <w:bookmarkStart w:id="0" w:name="_GoBack"/>
      <w:bookmarkEnd w:id="0"/>
      <w:r>
        <w:rPr>
          <w:rFonts w:hint="eastAsia" w:ascii="仿宋_GB2312" w:eastAsia="仿宋_GB2312"/>
          <w:sz w:val="32"/>
          <w:szCs w:val="32"/>
          <w:lang w:eastAsia="zh-CN"/>
        </w:rPr>
        <w:t>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农村实用人才带头人生产经营能力和带动作用明显增强</w:t>
      </w:r>
      <w:r>
        <w:rPr>
          <w:rFonts w:hint="eastAsia" w:ascii="仿宋_GB2312" w:eastAsia="仿宋_GB2312"/>
          <w:sz w:val="32"/>
          <w:szCs w:val="32"/>
          <w:lang w:val="en-US" w:eastAsia="zh-CN"/>
        </w:rPr>
        <w:t>。</w:t>
      </w:r>
    </w:p>
    <w:p>
      <w:pPr>
        <w:spacing w:line="600" w:lineRule="exact"/>
        <w:ind w:firstLine="640" w:firstLineChars="200"/>
        <w:rPr>
          <w:rFonts w:eastAsia="黑体"/>
          <w:sz w:val="32"/>
          <w:szCs w:val="32"/>
        </w:rPr>
      </w:pPr>
      <w:r>
        <w:rPr>
          <w:rFonts w:hint="eastAsia" w:eastAsia="黑体"/>
          <w:sz w:val="32"/>
          <w:szCs w:val="32"/>
          <w:lang w:eastAsia="zh-CN"/>
        </w:rPr>
        <w:t>三</w:t>
      </w: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lang w:val="en-US" w:eastAsia="zh-CN"/>
        </w:rPr>
        <w:t>（一）</w:t>
      </w:r>
      <w:r>
        <w:rPr>
          <w:rFonts w:ascii="仿宋_GB2312" w:hAnsi="仿宋_GB2312" w:eastAsia="仿宋_GB2312" w:cs="仿宋_GB2312"/>
          <w:b/>
          <w:color w:val="auto"/>
          <w:spacing w:val="0"/>
          <w:position w:val="0"/>
          <w:sz w:val="32"/>
          <w:shd w:val="clear" w:color="auto" w:fill="auto"/>
        </w:rPr>
        <w:t>加强组织领导</w:t>
      </w:r>
      <w:r>
        <w:rPr>
          <w:rFonts w:hint="eastAsia" w:ascii="仿宋_GB2312" w:hAnsi="仿宋_GB2312" w:eastAsia="仿宋_GB2312" w:cs="仿宋_GB2312"/>
          <w:b/>
          <w:color w:val="auto"/>
          <w:spacing w:val="0"/>
          <w:position w:val="0"/>
          <w:sz w:val="32"/>
          <w:shd w:val="clear" w:color="auto" w:fill="auto"/>
          <w:lang w:eastAsia="zh-CN"/>
        </w:rPr>
        <w:t>，</w:t>
      </w:r>
      <w:r>
        <w:rPr>
          <w:rFonts w:ascii="仿宋_GB2312" w:hAnsi="仿宋_GB2312" w:eastAsia="仿宋_GB2312" w:cs="仿宋_GB2312"/>
          <w:b/>
          <w:color w:val="auto"/>
          <w:spacing w:val="0"/>
          <w:position w:val="0"/>
          <w:sz w:val="32"/>
          <w:shd w:val="clear" w:color="auto" w:fill="auto"/>
        </w:rPr>
        <w:t>精心部署</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sz w:val="32"/>
          <w:szCs w:val="32"/>
          <w:lang w:val="en-US" w:eastAsia="zh-CN"/>
        </w:rPr>
        <w:t>为加强农村实用人才培训的管理和监督，县农业农村局成立了由局长任组长，主管副局长为副组长，科教、人事、计财等相关科室为成员的领导小组，领导小组下设办公室在局科教科，负责培训基地的日常督导和检查工作。培训基地在接到上级通知后，立即组织相关人员提前进行准备工作，包括会议、住宿、餐饮、材料、安保、卫生等，确保培训如期举行、保质进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（二）课程多样，按需施教。</w:t>
      </w:r>
      <w:r>
        <w:rPr>
          <w:rFonts w:hint="eastAsia" w:ascii="仿宋_GB2312" w:hAnsi="仿宋_GB2312" w:eastAsia="仿宋_GB2312" w:cs="仿宋_GB2312"/>
          <w:sz w:val="32"/>
          <w:szCs w:val="32"/>
          <w:lang w:val="en-US" w:eastAsia="zh-CN"/>
        </w:rPr>
        <w:t>根据不同培训主题，培训基地认真研究文件要求并提前与派出单位沟通，及时了解学习需求，设置了李大钊红色革命精神教育、合作社管理、电商营销策略、乡村振兴研究、冷链物流管理、消防安全、乡村旅游、美丽乡村建设、设施农业发展等二十多个不同类型课程，涵盖范围广阔，却又贴合实际。在专家授课的同时，更加注重实际经验的传授，邀请了江苏华西村党委书记吴协恩进行与华西会场同步线上授课，并邀请了历届优秀学员代表到会场进行传经送宝，使学员们受益匪浅，做到了学有所得、学有所获。在现场观摩中，基地直接将课堂设置在了第一线，包括李大钊纪念馆、李大钊教育基地进行党性教育，在迁西、丰南、乐亭、迁安等地进行乡村振兴示范点观摩，认真学习设施农业、智慧农业和家庭农场的发展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lang w:val="en-US" w:eastAsia="zh-CN"/>
        </w:rPr>
        <w:t>（三）</w:t>
      </w:r>
      <w:r>
        <w:rPr>
          <w:rFonts w:hint="eastAsia" w:ascii="仿宋_GB2312" w:hAnsi="仿宋_GB2312" w:eastAsia="仿宋_GB2312" w:cs="仿宋_GB2312"/>
          <w:b/>
          <w:bCs/>
          <w:sz w:val="32"/>
          <w:szCs w:val="32"/>
          <w:lang w:val="en-US" w:eastAsia="zh-CN"/>
        </w:rPr>
        <w:t>学员点对点接送，全国首创。</w:t>
      </w:r>
      <w:r>
        <w:rPr>
          <w:rFonts w:hint="eastAsia" w:ascii="仿宋_GB2312" w:hAnsi="仿宋_GB2312" w:eastAsia="仿宋_GB2312" w:cs="仿宋_GB2312"/>
          <w:b w:val="0"/>
          <w:bCs w:val="0"/>
          <w:sz w:val="32"/>
          <w:szCs w:val="32"/>
          <w:lang w:val="en-US" w:eastAsia="zh-CN"/>
        </w:rPr>
        <w:t>培训</w:t>
      </w:r>
      <w:r>
        <w:rPr>
          <w:rFonts w:hint="eastAsia" w:ascii="仿宋_GB2312" w:hAnsi="仿宋_GB2312" w:eastAsia="仿宋_GB2312" w:cs="仿宋_GB2312"/>
          <w:sz w:val="32"/>
          <w:szCs w:val="32"/>
          <w:lang w:val="en-US" w:eastAsia="zh-CN"/>
        </w:rPr>
        <w:t>基地安排大巴车对各地学员进行点对点接送，学员不用单独购买车票并反复转车，解决了买票难、转乘难且找不到基地位置的难题，易组织、好管理、省时间，该方法在刘现庄基地施行后被上级主管部门在省内以及全国培训基地进行推广。</w:t>
      </w:r>
    </w:p>
    <w:p>
      <w:pPr>
        <w:spacing w:line="600" w:lineRule="exact"/>
        <w:ind w:firstLine="643" w:firstLineChars="200"/>
      </w:pPr>
      <w:r>
        <w:rPr>
          <w:rFonts w:hint="eastAsia" w:ascii="仿宋_GB2312" w:hAnsi="仿宋_GB2312" w:eastAsia="仿宋_GB2312" w:cs="仿宋_GB2312"/>
          <w:b/>
          <w:bCs/>
          <w:sz w:val="32"/>
          <w:szCs w:val="32"/>
          <w:lang w:val="en-US" w:eastAsia="zh-CN"/>
        </w:rPr>
        <w:t>（四）实施分级、分层管理。</w:t>
      </w:r>
      <w:r>
        <w:rPr>
          <w:rFonts w:hint="eastAsia" w:ascii="仿宋_GB2312" w:hAnsi="仿宋_GB2312" w:eastAsia="仿宋_GB2312" w:cs="仿宋_GB2312"/>
          <w:sz w:val="32"/>
          <w:szCs w:val="32"/>
          <w:lang w:val="en-US" w:eastAsia="zh-CN"/>
        </w:rPr>
        <w:t>每期培训班，培训基地成立临时党支部和班委会，按照基地-班委会-学员的管理模式，让学员管理学员、学员协调学员，并让领队从中协调配合，这样在管理过程中易于调节矛盾、深化管理，并且在沟通过程中有缓冲、易沟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Times New Roman"/>
    <w:panose1 w:val="020B0604020202020204"/>
    <w:charset w:val="00"/>
    <w:family w:val="swiss"/>
    <w:pitch w:val="default"/>
    <w:sig w:usb0="00000000" w:usb1="00000000" w:usb2="0000003F" w:usb3="00000000" w:csb0="003F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5F65D9C"/>
    <w:rsid w:val="21792B11"/>
    <w:rsid w:val="32AA6D05"/>
    <w:rsid w:val="35D52662"/>
    <w:rsid w:val="44787793"/>
    <w:rsid w:val="4595474B"/>
    <w:rsid w:val="4872351E"/>
    <w:rsid w:val="49D67DF9"/>
    <w:rsid w:val="51B83587"/>
    <w:rsid w:val="51D879E2"/>
    <w:rsid w:val="63AF0C61"/>
    <w:rsid w:val="7FE84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Arial Unicode MS" w:hAnsi="Arial Unicode MS" w:eastAsia="Arial Unicode MS" w:cs="Arial Unicode MS"/>
      <w:kern w:val="0"/>
      <w:sz w:val="80"/>
      <w:szCs w:val="80"/>
      <w:lang w:eastAsia="en-US"/>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2024-04-23T02:29:55Z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