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农业农村局</w:t>
      </w:r>
    </w:p>
    <w:p>
      <w:pPr>
        <w:widowControl/>
        <w:spacing w:line="600" w:lineRule="exact"/>
        <w:jc w:val="center"/>
        <w:rPr>
          <w:rFonts w:hint="eastAsia" w:ascii="方正小标宋_GBK" w:hAnsi="宋体" w:eastAsia="方正小标宋_GBK" w:cs="宋体"/>
          <w:bCs/>
          <w:kern w:val="0"/>
          <w:sz w:val="24"/>
          <w:szCs w:val="24"/>
        </w:rPr>
      </w:pPr>
      <w:r>
        <w:rPr>
          <w:rFonts w:hint="eastAsia" w:ascii="方正小标宋_GBK" w:hAnsi="宋体" w:eastAsia="方正小标宋_GBK" w:cs="宋体"/>
          <w:bCs/>
          <w:kern w:val="0"/>
          <w:sz w:val="44"/>
          <w:szCs w:val="44"/>
          <w:u w:val="single"/>
          <w:lang w:val="en-US" w:eastAsia="zh-CN"/>
        </w:rPr>
        <w:t>仲裁员及调解员培训、补助、办案经费</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24"/>
          <w:szCs w:val="2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adjustRightInd w:val="0"/>
        <w:snapToGrid w:val="0"/>
        <w:spacing w:line="600" w:lineRule="exact"/>
        <w:ind w:firstLine="640" w:firstLineChars="200"/>
        <w:rPr>
          <w:rFonts w:ascii="仿宋_GB2312" w:hAnsi="黑体" w:eastAsia="仿宋_GB2312" w:cs="仿宋"/>
          <w:sz w:val="32"/>
          <w:szCs w:val="32"/>
        </w:rPr>
      </w:pPr>
      <w:r>
        <w:rPr>
          <w:rFonts w:hint="eastAsia" w:ascii="仿宋_GB2312" w:hAnsi="黑体" w:eastAsia="仿宋_GB2312" w:cs="仿宋"/>
          <w:sz w:val="32"/>
          <w:szCs w:val="32"/>
        </w:rPr>
        <w:t>项目名称：仲裁员及调解员培训、补助、办案经费项目属性（新增/延续）：新增</w:t>
      </w:r>
    </w:p>
    <w:p>
      <w:pPr>
        <w:adjustRightInd w:val="0"/>
        <w:snapToGrid w:val="0"/>
        <w:spacing w:line="600" w:lineRule="exact"/>
        <w:ind w:firstLine="640" w:firstLineChars="200"/>
        <w:rPr>
          <w:rFonts w:ascii="仿宋_GB2312" w:hAnsi="黑体" w:eastAsia="仿宋_GB2312" w:cs="仿宋"/>
          <w:sz w:val="32"/>
          <w:szCs w:val="32"/>
        </w:rPr>
      </w:pPr>
      <w:r>
        <w:rPr>
          <w:rFonts w:hint="eastAsia" w:ascii="仿宋_GB2312" w:hAnsi="黑体" w:eastAsia="仿宋_GB2312" w:cs="仿宋"/>
          <w:sz w:val="32"/>
          <w:szCs w:val="32"/>
        </w:rPr>
        <w:t>申请资金：</w:t>
      </w:r>
      <w:r>
        <w:rPr>
          <w:rFonts w:hint="eastAsia" w:ascii="仿宋_GB2312" w:hAnsi="黑体" w:eastAsia="仿宋_GB2312" w:cs="仿宋"/>
          <w:sz w:val="32"/>
          <w:szCs w:val="32"/>
          <w:lang w:val="en-US" w:eastAsia="zh-CN"/>
        </w:rPr>
        <w:t>10</w:t>
      </w:r>
      <w:r>
        <w:rPr>
          <w:rFonts w:hint="eastAsia" w:ascii="仿宋_GB2312" w:hAnsi="黑体" w:eastAsia="仿宋_GB2312" w:cs="仿宋"/>
          <w:sz w:val="32"/>
          <w:szCs w:val="32"/>
        </w:rPr>
        <w:t>万元</w:t>
      </w:r>
    </w:p>
    <w:p>
      <w:pPr>
        <w:adjustRightInd w:val="0"/>
        <w:snapToGrid w:val="0"/>
        <w:spacing w:line="600" w:lineRule="exact"/>
        <w:ind w:firstLine="640" w:firstLineChars="200"/>
        <w:rPr>
          <w:rFonts w:ascii="仿宋_GB2312" w:hAnsi="黑体" w:eastAsia="仿宋_GB2312" w:cs="仿宋"/>
          <w:sz w:val="32"/>
          <w:szCs w:val="32"/>
        </w:rPr>
      </w:pPr>
      <w:r>
        <w:rPr>
          <w:rFonts w:hint="eastAsia" w:ascii="仿宋_GB2312" w:hAnsi="黑体" w:eastAsia="仿宋_GB2312" w:cs="仿宋"/>
          <w:sz w:val="32"/>
          <w:szCs w:val="32"/>
        </w:rPr>
        <w:t>项目单位：玉田县农业农村局</w:t>
      </w:r>
    </w:p>
    <w:p>
      <w:pPr>
        <w:adjustRightInd w:val="0"/>
        <w:snapToGrid w:val="0"/>
        <w:spacing w:line="600" w:lineRule="exact"/>
        <w:ind w:firstLine="640" w:firstLineChars="200"/>
        <w:rPr>
          <w:rFonts w:ascii="仿宋_GB2312" w:hAnsi="黑体" w:eastAsia="仿宋_GB2312" w:cs="仿宋"/>
          <w:sz w:val="32"/>
          <w:szCs w:val="32"/>
        </w:rPr>
      </w:pPr>
      <w:r>
        <w:rPr>
          <w:rFonts w:hint="eastAsia" w:ascii="仿宋_GB2312" w:hAnsi="黑体" w:eastAsia="仿宋_GB2312" w:cs="仿宋"/>
          <w:sz w:val="32"/>
          <w:szCs w:val="32"/>
        </w:rPr>
        <w:t>主管部门：土地仲裁工作中心</w:t>
      </w:r>
    </w:p>
    <w:p>
      <w:pPr>
        <w:adjustRightInd w:val="0"/>
        <w:snapToGrid w:val="0"/>
        <w:spacing w:line="600" w:lineRule="exact"/>
        <w:ind w:firstLine="640" w:firstLineChars="200"/>
        <w:jc w:val="left"/>
        <w:rPr>
          <w:rFonts w:ascii="仿宋_GB2312" w:hAnsi="黑体" w:eastAsia="仿宋_GB2312" w:cs="仿宋"/>
          <w:sz w:val="32"/>
          <w:szCs w:val="32"/>
        </w:rPr>
      </w:pPr>
      <w:r>
        <w:rPr>
          <w:rFonts w:hint="eastAsia" w:ascii="仿宋_GB2312" w:hAnsi="黑体" w:eastAsia="仿宋_GB2312" w:cs="仿宋"/>
          <w:sz w:val="32"/>
          <w:szCs w:val="32"/>
        </w:rPr>
        <w:t>资金用途：</w:t>
      </w:r>
      <w:r>
        <w:rPr>
          <w:rFonts w:hint="eastAsia" w:ascii="仿宋" w:hAnsi="仿宋" w:eastAsia="仿宋" w:cs="宋体"/>
          <w:color w:val="000000"/>
          <w:kern w:val="0"/>
          <w:sz w:val="32"/>
          <w:szCs w:val="32"/>
        </w:rPr>
        <w:t>土地承包经营纠纷调解仲裁员及调解员培训费、办理案件经费、仲裁员办案补助</w:t>
      </w:r>
      <w:r>
        <w:rPr>
          <w:rFonts w:hint="eastAsia" w:ascii="仿宋_GB2312" w:hAnsi="黑体" w:eastAsia="仿宋_GB2312" w:cs="仿宋"/>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w:t>
      </w:r>
      <w:r>
        <w:rPr>
          <w:rFonts w:hint="eastAsia" w:ascii="仿宋_GB2312" w:eastAsia="仿宋_GB2312"/>
          <w:sz w:val="32"/>
          <w:szCs w:val="32"/>
          <w:lang w:eastAsia="zh-CN"/>
        </w:rPr>
        <w:t>局长盛新</w:t>
      </w:r>
      <w:r>
        <w:rPr>
          <w:rFonts w:hint="eastAsia" w:ascii="仿宋_GB2312" w:eastAsia="仿宋_GB2312"/>
          <w:sz w:val="32"/>
          <w:szCs w:val="32"/>
        </w:rPr>
        <w:t>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adjustRightInd w:val="0"/>
        <w:snapToGrid w:val="0"/>
        <w:spacing w:line="600" w:lineRule="exact"/>
        <w:ind w:firstLine="482"/>
        <w:rPr>
          <w:rFonts w:hint="eastAsia" w:ascii="仿宋" w:hAnsi="仿宋" w:eastAsia="仿宋" w:cs="仿宋"/>
          <w:b w:val="0"/>
          <w:bCs/>
          <w:sz w:val="32"/>
          <w:szCs w:val="32"/>
          <w:lang w:eastAsia="zh-CN"/>
        </w:rPr>
      </w:pPr>
      <w:r>
        <w:rPr>
          <w:rFonts w:hint="eastAsia" w:ascii="仿宋" w:hAnsi="仿宋" w:eastAsia="仿宋" w:cs="仿宋"/>
          <w:b w:val="0"/>
          <w:bCs/>
          <w:sz w:val="32"/>
          <w:szCs w:val="32"/>
        </w:rPr>
        <w:t>（</w:t>
      </w:r>
      <w:r>
        <w:rPr>
          <w:rFonts w:hint="eastAsia" w:ascii="仿宋" w:hAnsi="仿宋" w:eastAsia="仿宋" w:cs="仿宋"/>
          <w:b w:val="0"/>
          <w:bCs/>
          <w:sz w:val="32"/>
          <w:szCs w:val="32"/>
          <w:lang w:eastAsia="zh-CN"/>
        </w:rPr>
        <w:t>二</w:t>
      </w:r>
      <w:r>
        <w:rPr>
          <w:rFonts w:hint="eastAsia" w:ascii="仿宋" w:hAnsi="仿宋" w:eastAsia="仿宋" w:cs="仿宋"/>
          <w:b w:val="0"/>
          <w:bCs/>
          <w:sz w:val="32"/>
          <w:szCs w:val="32"/>
        </w:rPr>
        <w:t>）立项必要性</w:t>
      </w:r>
      <w:r>
        <w:rPr>
          <w:rFonts w:hint="eastAsia" w:ascii="仿宋" w:hAnsi="仿宋" w:eastAsia="仿宋" w:cs="仿宋"/>
          <w:b w:val="0"/>
          <w:bCs/>
          <w:sz w:val="32"/>
          <w:szCs w:val="32"/>
          <w:lang w:eastAsia="zh-CN"/>
        </w:rPr>
        <w:t>。</w:t>
      </w:r>
    </w:p>
    <w:p>
      <w:pPr>
        <w:adjustRightInd w:val="0"/>
        <w:snapToGrid w:val="0"/>
        <w:spacing w:line="600" w:lineRule="exact"/>
        <w:ind w:firstLine="640" w:firstLineChars="200"/>
        <w:rPr>
          <w:rFonts w:ascii="仿宋_GB2312" w:eastAsia="仿宋_GB2312"/>
          <w:sz w:val="32"/>
          <w:szCs w:val="32"/>
        </w:rPr>
      </w:pPr>
      <w:r>
        <w:rPr>
          <w:rFonts w:hint="eastAsia" w:ascii="仿宋_GB2312" w:hAnsi="仿宋" w:eastAsia="仿宋_GB2312"/>
          <w:sz w:val="32"/>
          <w:szCs w:val="32"/>
        </w:rPr>
        <w:t>该项目立项依据</w:t>
      </w:r>
      <w:r>
        <w:rPr>
          <w:rFonts w:hint="eastAsia" w:ascii="仿宋" w:hAnsi="仿宋" w:eastAsia="仿宋"/>
          <w:sz w:val="32"/>
          <w:szCs w:val="32"/>
        </w:rPr>
        <w:t>《中华人民共和国农村土地承包经营纠纷调解仲裁法》，</w:t>
      </w:r>
      <w:r>
        <w:rPr>
          <w:rFonts w:hint="eastAsia" w:ascii="仿宋" w:hAnsi="仿宋" w:eastAsia="仿宋"/>
          <w:sz w:val="32"/>
          <w:szCs w:val="32"/>
          <w:lang w:eastAsia="zh-CN"/>
        </w:rPr>
        <w:t>唐山</w:t>
      </w:r>
      <w:r>
        <w:rPr>
          <w:rFonts w:hint="eastAsia" w:ascii="仿宋" w:hAnsi="仿宋" w:eastAsia="仿宋"/>
          <w:sz w:val="32"/>
          <w:szCs w:val="32"/>
        </w:rPr>
        <w:t>市</w:t>
      </w:r>
      <w:r>
        <w:rPr>
          <w:rFonts w:hint="eastAsia" w:ascii="仿宋" w:hAnsi="仿宋" w:eastAsia="仿宋"/>
          <w:sz w:val="32"/>
          <w:szCs w:val="32"/>
          <w:lang w:eastAsia="zh-CN"/>
        </w:rPr>
        <w:t>农业农村</w:t>
      </w:r>
      <w:r>
        <w:rPr>
          <w:rFonts w:hint="eastAsia" w:ascii="仿宋" w:hAnsi="仿宋" w:eastAsia="仿宋"/>
          <w:sz w:val="32"/>
          <w:szCs w:val="32"/>
        </w:rPr>
        <w:t>局《关于做好农村土地承包经营纠纷调解仲裁工作的通知》唐农办字〔2020〕93 号要求，更好地化解我县农村土地承包纠纷，维护农村社会稳定，保护当事人的合法权益</w:t>
      </w:r>
      <w:r>
        <w:rPr>
          <w:rFonts w:hint="eastAsia" w:ascii="仿宋_GB2312" w:hAnsi="仿宋" w:eastAsia="仿宋_GB2312"/>
          <w:sz w:val="32"/>
          <w:szCs w:val="32"/>
        </w:rPr>
        <w:t>。</w:t>
      </w:r>
      <w:r>
        <w:rPr>
          <w:rFonts w:ascii="仿宋_GB2312" w:eastAsia="仿宋_GB2312"/>
          <w:sz w:val="32"/>
          <w:szCs w:val="32"/>
        </w:rPr>
        <w:t>立项依据充分，属于财政事权范围，相同或相近领域</w:t>
      </w:r>
      <w:r>
        <w:rPr>
          <w:rFonts w:hint="eastAsia" w:ascii="仿宋_GB2312" w:eastAsia="仿宋_GB2312"/>
          <w:sz w:val="32"/>
          <w:szCs w:val="32"/>
        </w:rPr>
        <w:t>无</w:t>
      </w:r>
      <w:r>
        <w:rPr>
          <w:rFonts w:ascii="仿宋_GB2312" w:eastAsia="仿宋_GB2312"/>
          <w:sz w:val="32"/>
          <w:szCs w:val="32"/>
        </w:rPr>
        <w:t>用途相似的预算安排，</w:t>
      </w:r>
      <w:r>
        <w:rPr>
          <w:rFonts w:hint="eastAsia" w:ascii="仿宋_GB2312" w:eastAsia="仿宋_GB2312"/>
          <w:sz w:val="32"/>
          <w:szCs w:val="32"/>
        </w:rPr>
        <w:t>具备不</w:t>
      </w:r>
      <w:r>
        <w:rPr>
          <w:rFonts w:ascii="仿宋_GB2312" w:eastAsia="仿宋_GB2312"/>
          <w:sz w:val="32"/>
          <w:szCs w:val="32"/>
        </w:rPr>
        <w:t>可替代性。</w:t>
      </w:r>
    </w:p>
    <w:p>
      <w:pPr>
        <w:numPr>
          <w:numId w:val="0"/>
        </w:numPr>
        <w:adjustRightInd w:val="0"/>
        <w:snapToGrid w:val="0"/>
        <w:spacing w:line="600" w:lineRule="exact"/>
        <w:ind w:left="630" w:leftChars="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（三）</w:t>
      </w:r>
      <w:r>
        <w:rPr>
          <w:rFonts w:hint="eastAsia" w:ascii="仿宋" w:hAnsi="仿宋" w:eastAsia="仿宋" w:cs="仿宋"/>
          <w:b w:val="0"/>
          <w:bCs/>
          <w:sz w:val="32"/>
          <w:szCs w:val="32"/>
        </w:rPr>
        <w:t>实施可行性</w:t>
      </w:r>
      <w:r>
        <w:rPr>
          <w:rFonts w:hint="eastAsia" w:ascii="仿宋" w:hAnsi="仿宋" w:eastAsia="仿宋" w:cs="仿宋"/>
          <w:b w:val="0"/>
          <w:bCs/>
          <w:sz w:val="32"/>
          <w:szCs w:val="32"/>
          <w:lang w:eastAsia="zh-CN"/>
        </w:rPr>
        <w:t>。</w:t>
      </w:r>
    </w:p>
    <w:p>
      <w:pPr>
        <w:rPr>
          <w:rFonts w:ascii="仿宋" w:hAnsi="仿宋" w:eastAsia="仿宋"/>
          <w:sz w:val="32"/>
          <w:szCs w:val="32"/>
        </w:rPr>
      </w:pPr>
      <w:r>
        <w:rPr>
          <w:rFonts w:hint="eastAsia" w:ascii="仿宋_GB2312" w:hAnsi="黑体" w:eastAsia="仿宋_GB2312" w:cs="仿宋"/>
          <w:sz w:val="32"/>
          <w:szCs w:val="32"/>
        </w:rPr>
        <w:t xml:space="preserve">    项目资金到位后，</w:t>
      </w:r>
      <w:r>
        <w:rPr>
          <w:rFonts w:hint="eastAsia" w:ascii="仿宋" w:hAnsi="仿宋" w:eastAsia="仿宋" w:cs="仿宋"/>
          <w:sz w:val="32"/>
          <w:szCs w:val="32"/>
        </w:rPr>
        <w:t>对我县农村土地承包仲裁委员会聘请的仲裁员、</w:t>
      </w:r>
      <w:r>
        <w:rPr>
          <w:rFonts w:hint="eastAsia" w:ascii="仿宋" w:hAnsi="仿宋" w:eastAsia="仿宋"/>
          <w:sz w:val="32"/>
          <w:szCs w:val="32"/>
        </w:rPr>
        <w:t>20各乡镇农村土地承包调解委员会成员和750个行政村土地承包调解小组负责人进行培训；同时购置工具书、印刷宣传品等软件建设；支付土地承包纠纷仲裁员办案补贴，加快健全纠纷调解仲裁体系、全面提升调解仲裁工作水平。</w:t>
      </w:r>
    </w:p>
    <w:p>
      <w:pPr>
        <w:adjustRightInd w:val="0"/>
        <w:snapToGrid w:val="0"/>
        <w:spacing w:line="60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rPr>
        <w:t>（</w:t>
      </w:r>
      <w:r>
        <w:rPr>
          <w:rFonts w:hint="eastAsia" w:ascii="仿宋" w:hAnsi="仿宋" w:eastAsia="仿宋" w:cs="仿宋"/>
          <w:b w:val="0"/>
          <w:bCs/>
          <w:sz w:val="32"/>
          <w:szCs w:val="32"/>
          <w:lang w:eastAsia="zh-CN"/>
        </w:rPr>
        <w:t>四</w:t>
      </w:r>
      <w:r>
        <w:rPr>
          <w:rFonts w:hint="eastAsia" w:ascii="仿宋" w:hAnsi="仿宋" w:eastAsia="仿宋" w:cs="仿宋"/>
          <w:b w:val="0"/>
          <w:bCs/>
          <w:sz w:val="32"/>
          <w:szCs w:val="32"/>
        </w:rPr>
        <w:t>）绩效目标合理性</w:t>
      </w:r>
      <w:r>
        <w:rPr>
          <w:rFonts w:hint="eastAsia" w:ascii="仿宋" w:hAnsi="仿宋" w:eastAsia="仿宋" w:cs="仿宋"/>
          <w:b w:val="0"/>
          <w:bCs/>
          <w:sz w:val="32"/>
          <w:szCs w:val="32"/>
          <w:lang w:eastAsia="zh-CN"/>
        </w:rPr>
        <w:t>。</w:t>
      </w:r>
    </w:p>
    <w:p>
      <w:pPr>
        <w:adjustRightInd w:val="0"/>
        <w:snapToGrid w:val="0"/>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绩效目标设定情况，对项目效果的指标化，分为产出指标、效益指标和满意度指标三个方面：</w:t>
      </w:r>
    </w:p>
    <w:p>
      <w:pPr>
        <w:adjustRightInd w:val="0"/>
        <w:snapToGrid w:val="0"/>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产出指标：</w:t>
      </w:r>
    </w:p>
    <w:p>
      <w:pPr>
        <w:adjustRightInd w:val="0"/>
        <w:snapToGrid w:val="0"/>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成本指标 仲裁员调解员培训人数 年内完成县土地仲裁委员会聘请仲裁员、乡镇和村聘请调解员合计450人。</w:t>
      </w:r>
    </w:p>
    <w:p>
      <w:pPr>
        <w:adjustRightInd w:val="0"/>
        <w:snapToGrid w:val="0"/>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成本指标 仲裁员办案补助件数 年内土地承包仲裁案件结案数量。</w:t>
      </w:r>
    </w:p>
    <w:p>
      <w:pPr>
        <w:adjustRightInd w:val="0"/>
        <w:snapToGrid w:val="0"/>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成本指标 办案及办公经费实际支出数。</w:t>
      </w:r>
    </w:p>
    <w:p>
      <w:pPr>
        <w:adjustRightInd w:val="0"/>
        <w:snapToGrid w:val="0"/>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效益指标：</w:t>
      </w:r>
    </w:p>
    <w:p>
      <w:pPr>
        <w:adjustRightInd w:val="0"/>
        <w:snapToGrid w:val="0"/>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社会效益指标 立案率 申请仲裁土地承包纠纷立案情况。</w:t>
      </w:r>
    </w:p>
    <w:p>
      <w:pPr>
        <w:adjustRightInd w:val="0"/>
        <w:snapToGrid w:val="0"/>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社会效益指标 结案率 立案土地承包纠纷结案情况。</w:t>
      </w:r>
    </w:p>
    <w:p>
      <w:pPr>
        <w:adjustRightInd w:val="0"/>
        <w:snapToGrid w:val="0"/>
        <w:spacing w:line="600" w:lineRule="exact"/>
        <w:rPr>
          <w:rFonts w:ascii="仿宋" w:hAnsi="仿宋" w:eastAsia="仿宋" w:cs="仿宋"/>
          <w:sz w:val="32"/>
          <w:szCs w:val="32"/>
        </w:rPr>
      </w:pPr>
      <w:r>
        <w:rPr>
          <w:rFonts w:hint="eastAsia" w:ascii="仿宋" w:hAnsi="仿宋" w:eastAsia="仿宋" w:cs="仿宋"/>
          <w:sz w:val="32"/>
          <w:szCs w:val="32"/>
        </w:rPr>
        <w:t xml:space="preserve">    满意度指标 群众满意度 群众对案件审理评价≥80%</w:t>
      </w:r>
    </w:p>
    <w:p>
      <w:pPr>
        <w:adjustRightInd w:val="0"/>
        <w:snapToGrid w:val="0"/>
        <w:spacing w:line="600" w:lineRule="exact"/>
        <w:ind w:firstLine="482"/>
        <w:rPr>
          <w:rFonts w:hint="eastAsia" w:ascii="仿宋" w:hAnsi="仿宋" w:eastAsia="仿宋" w:cs="仿宋"/>
          <w:b w:val="0"/>
          <w:bCs/>
          <w:sz w:val="32"/>
          <w:szCs w:val="32"/>
          <w:lang w:eastAsia="zh-CN"/>
        </w:rPr>
      </w:pPr>
      <w:r>
        <w:rPr>
          <w:rFonts w:ascii="楷体" w:hAnsi="楷体" w:eastAsia="楷体"/>
          <w:b/>
          <w:sz w:val="32"/>
          <w:szCs w:val="32"/>
        </w:rPr>
        <w:t xml:space="preserve"> </w:t>
      </w:r>
      <w:r>
        <w:rPr>
          <w:rFonts w:hint="eastAsia" w:ascii="仿宋" w:hAnsi="仿宋" w:eastAsia="仿宋" w:cs="仿宋"/>
          <w:b w:val="0"/>
          <w:bCs/>
          <w:sz w:val="32"/>
          <w:szCs w:val="32"/>
        </w:rPr>
        <w:t>（</w:t>
      </w:r>
      <w:r>
        <w:rPr>
          <w:rFonts w:hint="eastAsia" w:ascii="仿宋" w:hAnsi="仿宋" w:eastAsia="仿宋" w:cs="仿宋"/>
          <w:b w:val="0"/>
          <w:bCs/>
          <w:sz w:val="32"/>
          <w:szCs w:val="32"/>
          <w:lang w:eastAsia="zh-CN"/>
        </w:rPr>
        <w:t>五</w:t>
      </w:r>
      <w:r>
        <w:rPr>
          <w:rFonts w:hint="eastAsia" w:ascii="仿宋" w:hAnsi="仿宋" w:eastAsia="仿宋" w:cs="仿宋"/>
          <w:b w:val="0"/>
          <w:bCs/>
          <w:sz w:val="32"/>
          <w:szCs w:val="32"/>
        </w:rPr>
        <w:t>）投入经济性</w:t>
      </w:r>
      <w:r>
        <w:rPr>
          <w:rFonts w:hint="eastAsia" w:ascii="仿宋" w:hAnsi="仿宋" w:eastAsia="仿宋" w:cs="仿宋"/>
          <w:b w:val="0"/>
          <w:bCs/>
          <w:sz w:val="32"/>
          <w:szCs w:val="32"/>
          <w:lang w:eastAsia="zh-CN"/>
        </w:rPr>
        <w:t>。</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根据我县</w:t>
      </w:r>
      <w:r>
        <w:rPr>
          <w:rFonts w:hint="eastAsia" w:ascii="仿宋" w:hAnsi="仿宋" w:eastAsia="仿宋"/>
          <w:sz w:val="32"/>
          <w:szCs w:val="32"/>
        </w:rPr>
        <w:t>农村土地承包纠纷案件发生情况</w:t>
      </w:r>
      <w:r>
        <w:rPr>
          <w:rFonts w:hint="eastAsia" w:ascii="仿宋_GB2312" w:eastAsia="仿宋_GB2312"/>
          <w:sz w:val="32"/>
          <w:szCs w:val="32"/>
        </w:rPr>
        <w:t>，需要随时开展土地承包纠纷调解仲裁，需财政</w:t>
      </w:r>
      <w:r>
        <w:rPr>
          <w:rFonts w:ascii="仿宋_GB2312" w:eastAsia="仿宋_GB2312"/>
          <w:sz w:val="32"/>
          <w:szCs w:val="32"/>
        </w:rPr>
        <w:t>投入</w:t>
      </w:r>
      <w:r>
        <w:rPr>
          <w:rFonts w:hint="eastAsia" w:ascii="仿宋_GB2312" w:eastAsia="仿宋_GB2312"/>
          <w:sz w:val="32"/>
          <w:szCs w:val="32"/>
        </w:rPr>
        <w:t>的资金</w:t>
      </w:r>
      <w:r>
        <w:rPr>
          <w:rFonts w:hint="eastAsia" w:ascii="仿宋_GB2312" w:eastAsia="仿宋_GB2312"/>
          <w:sz w:val="32"/>
          <w:szCs w:val="32"/>
          <w:lang w:val="en-US" w:eastAsia="zh-CN"/>
        </w:rPr>
        <w:t>11.1</w:t>
      </w:r>
      <w:r>
        <w:rPr>
          <w:rFonts w:hint="eastAsia" w:ascii="仿宋_GB2312" w:eastAsia="仿宋_GB2312"/>
          <w:sz w:val="32"/>
          <w:szCs w:val="32"/>
        </w:rPr>
        <w:t>万元，资金的投入与预期</w:t>
      </w:r>
      <w:r>
        <w:rPr>
          <w:rFonts w:ascii="仿宋_GB2312" w:eastAsia="仿宋_GB2312"/>
          <w:sz w:val="32"/>
          <w:szCs w:val="32"/>
        </w:rPr>
        <w:t>效益</w:t>
      </w:r>
      <w:r>
        <w:rPr>
          <w:rFonts w:hint="eastAsia" w:ascii="仿宋_GB2312" w:eastAsia="仿宋_GB2312"/>
          <w:sz w:val="32"/>
          <w:szCs w:val="32"/>
        </w:rPr>
        <w:t>相</w:t>
      </w:r>
      <w:r>
        <w:rPr>
          <w:rFonts w:ascii="仿宋_GB2312" w:eastAsia="仿宋_GB2312"/>
          <w:sz w:val="32"/>
          <w:szCs w:val="32"/>
        </w:rPr>
        <w:t>匹配。</w:t>
      </w:r>
    </w:p>
    <w:p>
      <w:pPr>
        <w:adjustRightInd w:val="0"/>
        <w:snapToGrid w:val="0"/>
        <w:spacing w:line="600" w:lineRule="exact"/>
        <w:ind w:firstLine="482"/>
        <w:rPr>
          <w:rFonts w:hint="eastAsia" w:ascii="仿宋" w:hAnsi="仿宋" w:eastAsia="仿宋" w:cs="仿宋"/>
          <w:b w:val="0"/>
          <w:bCs/>
          <w:sz w:val="32"/>
          <w:szCs w:val="32"/>
          <w:lang w:eastAsia="zh-CN"/>
        </w:rPr>
      </w:pPr>
      <w:r>
        <w:rPr>
          <w:rFonts w:hint="eastAsia" w:ascii="仿宋" w:hAnsi="仿宋" w:eastAsia="仿宋" w:cs="仿宋"/>
          <w:b w:val="0"/>
          <w:bCs/>
          <w:sz w:val="32"/>
          <w:szCs w:val="32"/>
        </w:rPr>
        <w:t>（</w:t>
      </w:r>
      <w:r>
        <w:rPr>
          <w:rFonts w:hint="eastAsia" w:ascii="仿宋" w:hAnsi="仿宋" w:eastAsia="仿宋" w:cs="仿宋"/>
          <w:b w:val="0"/>
          <w:bCs/>
          <w:sz w:val="32"/>
          <w:szCs w:val="32"/>
          <w:lang w:eastAsia="zh-CN"/>
        </w:rPr>
        <w:t>六</w:t>
      </w:r>
      <w:r>
        <w:rPr>
          <w:rFonts w:hint="eastAsia" w:ascii="仿宋" w:hAnsi="仿宋" w:eastAsia="仿宋" w:cs="仿宋"/>
          <w:b w:val="0"/>
          <w:bCs/>
          <w:sz w:val="32"/>
          <w:szCs w:val="32"/>
        </w:rPr>
        <w:t>）支出及时性</w:t>
      </w:r>
      <w:r>
        <w:rPr>
          <w:rFonts w:hint="eastAsia" w:ascii="仿宋" w:hAnsi="仿宋" w:eastAsia="仿宋" w:cs="仿宋"/>
          <w:b w:val="0"/>
          <w:bCs/>
          <w:sz w:val="32"/>
          <w:szCs w:val="32"/>
          <w:lang w:eastAsia="zh-CN"/>
        </w:rPr>
        <w:t>。</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项目批复后立即开始项目运转，根据案件结案情况、仲裁培训情况，及时拨付项目费用。</w:t>
      </w:r>
    </w:p>
    <w:p>
      <w:pPr>
        <w:adjustRightInd w:val="0"/>
        <w:snapToGrid w:val="0"/>
        <w:spacing w:line="600" w:lineRule="exact"/>
        <w:ind w:firstLine="640" w:firstLineChars="200"/>
        <w:rPr>
          <w:rFonts w:ascii="黑体" w:hAnsi="黑体" w:eastAsia="黑体" w:cs="仿宋"/>
          <w:bCs/>
          <w:sz w:val="32"/>
          <w:szCs w:val="32"/>
        </w:rPr>
      </w:pPr>
      <w:r>
        <w:rPr>
          <w:rFonts w:hint="eastAsia" w:ascii="黑体" w:hAnsi="黑体" w:eastAsia="黑体" w:cs="仿宋"/>
          <w:bCs/>
          <w:sz w:val="32"/>
          <w:szCs w:val="32"/>
        </w:rPr>
        <w:t>四、评估结论</w:t>
      </w:r>
    </w:p>
    <w:p>
      <w:pPr>
        <w:ind w:firstLine="640" w:firstLineChars="200"/>
      </w:pPr>
      <w:r>
        <w:rPr>
          <w:rFonts w:hint="eastAsia" w:ascii="仿宋_GB2312" w:eastAsia="仿宋_GB2312"/>
          <w:sz w:val="32"/>
          <w:szCs w:val="32"/>
        </w:rPr>
        <w:t>综合以上评估情况，该项目依据充分,目标合理，方案可行，资金</w:t>
      </w:r>
      <w:r>
        <w:rPr>
          <w:rFonts w:hint="eastAsia" w:ascii="仿宋_GB2312" w:eastAsia="仿宋_GB2312"/>
          <w:sz w:val="32"/>
          <w:szCs w:val="32"/>
          <w:lang w:eastAsia="zh-CN"/>
        </w:rPr>
        <w:t>支出</w:t>
      </w:r>
      <w:r>
        <w:rPr>
          <w:rFonts w:hint="eastAsia" w:ascii="仿宋_GB2312" w:eastAsia="仿宋_GB2312"/>
          <w:sz w:val="32"/>
          <w:szCs w:val="32"/>
        </w:rPr>
        <w:t>科学</w:t>
      </w:r>
      <w:bookmarkStart w:id="0" w:name="_GoBack"/>
      <w:bookmarkEnd w:id="0"/>
      <w:r>
        <w:rPr>
          <w:rFonts w:hint="eastAsia" w:ascii="仿宋_GB2312" w:eastAsia="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30E37DE3"/>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2024-04-22T08:34:15Z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