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25487">
      <w:pPr>
        <w:keepNext w:val="0"/>
        <w:keepLines w:val="0"/>
        <w:pageBreakBefore w:val="0"/>
        <w:kinsoku/>
        <w:wordWrap/>
        <w:overflowPunct/>
        <w:topLinePunct w:val="0"/>
        <w:autoSpaceDE/>
        <w:autoSpaceDN/>
        <w:bidi w:val="0"/>
        <w:adjustRightInd/>
        <w:snapToGrid/>
        <w:ind w:firstLine="1044"/>
        <w:jc w:val="center"/>
        <w:textAlignment w:val="auto"/>
        <w:rPr>
          <w:rFonts w:ascii="仿宋" w:hAnsi="仿宋" w:eastAsia="仿宋"/>
          <w:b/>
          <w:bCs/>
          <w:sz w:val="52"/>
          <w:szCs w:val="52"/>
          <w:highlight w:val="none"/>
        </w:rPr>
      </w:pPr>
      <w:bookmarkStart w:id="0" w:name="_Hlk497168988"/>
      <w:bookmarkEnd w:id="0"/>
    </w:p>
    <w:p w14:paraId="77997C76">
      <w:pPr>
        <w:keepNext w:val="0"/>
        <w:keepLines w:val="0"/>
        <w:pageBreakBefore w:val="0"/>
        <w:kinsoku/>
        <w:wordWrap/>
        <w:overflowPunct/>
        <w:topLinePunct w:val="0"/>
        <w:autoSpaceDE/>
        <w:autoSpaceDN/>
        <w:bidi w:val="0"/>
        <w:adjustRightInd/>
        <w:snapToGrid/>
        <w:textAlignment w:val="auto"/>
        <w:rPr>
          <w:rFonts w:ascii="仿宋" w:hAnsi="仿宋" w:eastAsia="仿宋"/>
          <w:b/>
          <w:bCs/>
          <w:sz w:val="52"/>
          <w:szCs w:val="52"/>
          <w:highlight w:val="none"/>
        </w:rPr>
      </w:pPr>
    </w:p>
    <w:p w14:paraId="709149BE">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szCs w:val="52"/>
          <w:highlight w:val="none"/>
        </w:rPr>
      </w:pPr>
      <w:r>
        <w:rPr>
          <w:rFonts w:hint="eastAsia" w:ascii="仿宋" w:hAnsi="仿宋" w:eastAsia="仿宋"/>
          <w:b/>
          <w:bCs/>
          <w:sz w:val="52"/>
          <w:szCs w:val="52"/>
          <w:highlight w:val="none"/>
          <w:lang w:eastAsia="zh-CN"/>
        </w:rPr>
        <w:t>玉田县县级</w:t>
      </w:r>
      <w:r>
        <w:rPr>
          <w:rFonts w:hint="eastAsia" w:ascii="仿宋" w:hAnsi="仿宋" w:eastAsia="仿宋"/>
          <w:b/>
          <w:bCs/>
          <w:sz w:val="52"/>
          <w:szCs w:val="52"/>
          <w:highlight w:val="none"/>
        </w:rPr>
        <w:t>财政支出项目</w:t>
      </w:r>
    </w:p>
    <w:p w14:paraId="32D7509B">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szCs w:val="52"/>
          <w:highlight w:val="none"/>
        </w:rPr>
      </w:pPr>
      <w:r>
        <w:rPr>
          <w:rFonts w:hint="eastAsia" w:ascii="仿宋" w:hAnsi="仿宋" w:eastAsia="仿宋"/>
          <w:b/>
          <w:bCs/>
          <w:sz w:val="52"/>
          <w:szCs w:val="52"/>
          <w:highlight w:val="none"/>
        </w:rPr>
        <w:t>绩效评价报告</w:t>
      </w:r>
    </w:p>
    <w:p w14:paraId="37A64978">
      <w:pPr>
        <w:keepNext w:val="0"/>
        <w:keepLines w:val="0"/>
        <w:pageBreakBefore w:val="0"/>
        <w:kinsoku/>
        <w:wordWrap/>
        <w:overflowPunct/>
        <w:topLinePunct w:val="0"/>
        <w:autoSpaceDE/>
        <w:autoSpaceDN/>
        <w:bidi w:val="0"/>
        <w:adjustRightInd/>
        <w:snapToGrid/>
        <w:jc w:val="center"/>
        <w:textAlignment w:val="auto"/>
        <w:rPr>
          <w:rFonts w:ascii="仿宋" w:hAnsi="仿宋" w:eastAsia="仿宋"/>
          <w:bCs/>
          <w:sz w:val="32"/>
          <w:szCs w:val="32"/>
          <w:highlight w:val="none"/>
        </w:rPr>
      </w:pPr>
    </w:p>
    <w:p w14:paraId="1507375A">
      <w:pPr>
        <w:keepNext w:val="0"/>
        <w:keepLines w:val="0"/>
        <w:pageBreakBefore w:val="0"/>
        <w:kinsoku/>
        <w:wordWrap/>
        <w:overflowPunct/>
        <w:topLinePunct w:val="0"/>
        <w:autoSpaceDE/>
        <w:autoSpaceDN/>
        <w:bidi w:val="0"/>
        <w:adjustRightInd/>
        <w:snapToGrid/>
        <w:jc w:val="center"/>
        <w:textAlignment w:val="auto"/>
        <w:rPr>
          <w:rFonts w:ascii="仿宋" w:hAnsi="仿宋" w:eastAsia="仿宋"/>
          <w:bCs/>
          <w:sz w:val="32"/>
          <w:szCs w:val="32"/>
          <w:highlight w:val="none"/>
        </w:rPr>
      </w:pPr>
    </w:p>
    <w:p w14:paraId="1F4702BA">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highlight w:val="none"/>
        </w:rPr>
      </w:pPr>
    </w:p>
    <w:p w14:paraId="43A7B143">
      <w:pPr>
        <w:keepNext w:val="0"/>
        <w:keepLines w:val="0"/>
        <w:pageBreakBefore w:val="0"/>
        <w:kinsoku/>
        <w:wordWrap/>
        <w:overflowPunct/>
        <w:topLinePunct w:val="0"/>
        <w:autoSpaceDE/>
        <w:autoSpaceDN/>
        <w:bidi w:val="0"/>
        <w:adjustRightInd/>
        <w:snapToGrid/>
        <w:jc w:val="center"/>
        <w:textAlignment w:val="auto"/>
        <w:rPr>
          <w:rFonts w:ascii="仿宋" w:hAnsi="仿宋" w:eastAsia="仿宋"/>
          <w:b/>
          <w:bCs/>
          <w:sz w:val="52"/>
          <w:highlight w:val="none"/>
        </w:rPr>
      </w:pPr>
    </w:p>
    <w:p w14:paraId="4AF9A01A">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rPr>
      </w:pPr>
    </w:p>
    <w:p w14:paraId="417CC437">
      <w:pPr>
        <w:keepNext w:val="0"/>
        <w:keepLines w:val="0"/>
        <w:pageBreakBefore w:val="0"/>
        <w:kinsoku/>
        <w:wordWrap/>
        <w:overflowPunct/>
        <w:topLinePunct w:val="0"/>
        <w:autoSpaceDE/>
        <w:autoSpaceDN/>
        <w:bidi w:val="0"/>
        <w:adjustRightInd/>
        <w:snapToGrid/>
        <w:textAlignment w:val="auto"/>
        <w:rPr>
          <w:rFonts w:ascii="仿宋" w:hAnsi="仿宋" w:eastAsia="仿宋"/>
          <w:sz w:val="32"/>
          <w:highlight w:val="none"/>
          <w:u w:val="single"/>
        </w:rPr>
      </w:pPr>
      <w:r>
        <w:rPr>
          <w:rFonts w:hint="eastAsia" w:ascii="仿宋" w:hAnsi="仿宋" w:eastAsia="仿宋"/>
          <w:sz w:val="32"/>
          <w:highlight w:val="none"/>
        </w:rPr>
        <w:t>主</w:t>
      </w:r>
      <w:r>
        <w:rPr>
          <w:rFonts w:hint="eastAsia" w:ascii="仿宋" w:hAnsi="仿宋" w:eastAsia="仿宋"/>
          <w:sz w:val="32"/>
          <w:szCs w:val="32"/>
          <w:highlight w:val="none"/>
        </w:rPr>
        <w:t>管部</w:t>
      </w:r>
      <w:r>
        <w:rPr>
          <w:rFonts w:hint="eastAsia" w:ascii="仿宋" w:hAnsi="仿宋" w:eastAsia="仿宋"/>
          <w:sz w:val="32"/>
          <w:highlight w:val="none"/>
        </w:rPr>
        <w:t xml:space="preserve">门   </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lang w:eastAsia="zh-CN"/>
        </w:rPr>
        <w:t>玉田县农业农村局</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rPr>
        <w:t xml:space="preserve"> </w:t>
      </w:r>
    </w:p>
    <w:p w14:paraId="382D9070">
      <w:pPr>
        <w:keepNext w:val="0"/>
        <w:keepLines w:val="0"/>
        <w:pageBreakBefore w:val="0"/>
        <w:kinsoku/>
        <w:wordWrap/>
        <w:overflowPunct/>
        <w:topLinePunct w:val="0"/>
        <w:autoSpaceDE/>
        <w:autoSpaceDN/>
        <w:bidi w:val="0"/>
        <w:adjustRightInd/>
        <w:snapToGrid/>
        <w:textAlignment w:val="auto"/>
        <w:rPr>
          <w:rFonts w:ascii="仿宋" w:hAnsi="仿宋" w:eastAsia="仿宋"/>
          <w:sz w:val="32"/>
          <w:highlight w:val="none"/>
          <w:u w:val="single"/>
        </w:rPr>
      </w:pPr>
      <w:r>
        <w:rPr>
          <w:rFonts w:hint="eastAsia" w:ascii="仿宋" w:hAnsi="仿宋" w:eastAsia="仿宋"/>
          <w:sz w:val="32"/>
          <w:highlight w:val="none"/>
        </w:rPr>
        <w:t xml:space="preserve">项目单位   </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lang w:eastAsia="zh-CN"/>
        </w:rPr>
        <w:t>玉田县农业农村局</w:t>
      </w:r>
      <w:r>
        <w:rPr>
          <w:rFonts w:hint="eastAsia" w:ascii="仿宋" w:hAnsi="仿宋" w:eastAsia="仿宋"/>
          <w:sz w:val="32"/>
          <w:highlight w:val="none"/>
          <w:u w:val="single"/>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ascii="仿宋" w:hAnsi="仿宋" w:eastAsia="仿宋"/>
          <w:sz w:val="32"/>
          <w:highlight w:val="none"/>
          <w:u w:val="single"/>
        </w:rPr>
        <w:t xml:space="preserve"> </w:t>
      </w:r>
      <w:r>
        <w:rPr>
          <w:rFonts w:hint="eastAsia" w:ascii="仿宋" w:hAnsi="仿宋" w:eastAsia="仿宋"/>
          <w:sz w:val="32"/>
          <w:highlight w:val="none"/>
          <w:u w:val="single"/>
        </w:rPr>
        <w:t xml:space="preserve"> </w:t>
      </w:r>
      <w:r>
        <w:rPr>
          <w:rFonts w:hint="eastAsia" w:ascii="仿宋" w:hAnsi="仿宋" w:eastAsia="仿宋"/>
          <w:sz w:val="32"/>
          <w:highlight w:val="none"/>
        </w:rPr>
        <w:t xml:space="preserve"> </w:t>
      </w:r>
    </w:p>
    <w:p w14:paraId="1B589D09">
      <w:pPr>
        <w:keepNext w:val="0"/>
        <w:keepLines w:val="0"/>
        <w:pageBreakBefore w:val="0"/>
        <w:kinsoku/>
        <w:wordWrap/>
        <w:overflowPunct/>
        <w:topLinePunct w:val="0"/>
        <w:autoSpaceDE/>
        <w:autoSpaceDN/>
        <w:bidi w:val="0"/>
        <w:adjustRightInd/>
        <w:snapToGrid/>
        <w:ind w:left="2240" w:hanging="2240" w:hangingChars="700"/>
        <w:textAlignment w:val="auto"/>
        <w:rPr>
          <w:rFonts w:ascii="仿宋" w:hAnsi="仿宋" w:eastAsia="仿宋"/>
          <w:sz w:val="32"/>
          <w:highlight w:val="none"/>
          <w:u w:val="single"/>
        </w:rPr>
      </w:pPr>
      <w:r>
        <w:rPr>
          <w:rFonts w:hint="eastAsia" w:ascii="仿宋" w:hAnsi="仿宋" w:eastAsia="仿宋"/>
          <w:sz w:val="32"/>
          <w:highlight w:val="none"/>
        </w:rPr>
        <w:t xml:space="preserve">项目名称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hint="eastAsia" w:ascii="仿宋" w:hAnsi="仿宋" w:eastAsia="仿宋"/>
          <w:sz w:val="32"/>
          <w:szCs w:val="32"/>
          <w:highlight w:val="none"/>
          <w:u w:val="single"/>
          <w:lang w:eastAsia="zh-CN"/>
        </w:rPr>
        <w:t>冀财债【2023】42号文2023年第七批政府债券玉田县农业人居环境综合整治项目</w:t>
      </w:r>
      <w:r>
        <w:rPr>
          <w:rFonts w:hint="eastAsia" w:ascii="仿宋" w:hAnsi="仿宋" w:eastAsia="仿宋"/>
          <w:sz w:val="32"/>
          <w:szCs w:val="32"/>
          <w:highlight w:val="none"/>
          <w:u w:val="single"/>
        </w:rPr>
        <w:t xml:space="preserve">  </w:t>
      </w:r>
      <w:r>
        <w:rPr>
          <w:rFonts w:ascii="仿宋" w:hAnsi="仿宋" w:eastAsia="仿宋"/>
          <w:sz w:val="32"/>
          <w:szCs w:val="32"/>
          <w:highlight w:val="none"/>
          <w:u w:val="single"/>
        </w:rPr>
        <w:t xml:space="preserve">   </w:t>
      </w:r>
      <w:r>
        <w:rPr>
          <w:rFonts w:hint="eastAsia" w:ascii="仿宋" w:hAnsi="仿宋" w:eastAsia="仿宋"/>
          <w:sz w:val="32"/>
          <w:szCs w:val="32"/>
          <w:highlight w:val="none"/>
        </w:rPr>
        <w:t xml:space="preserve"> </w:t>
      </w:r>
    </w:p>
    <w:p w14:paraId="376255A9">
      <w:pPr>
        <w:spacing w:beforeLines="0" w:afterLines="0"/>
        <w:jc w:val="left"/>
        <w:rPr>
          <w:rFonts w:ascii="仿宋" w:hAnsi="仿宋" w:eastAsia="仿宋"/>
          <w:sz w:val="32"/>
          <w:szCs w:val="32"/>
          <w:highlight w:val="none"/>
        </w:rPr>
      </w:pPr>
      <w:r>
        <w:rPr>
          <w:rFonts w:hint="eastAsia" w:ascii="仿宋" w:hAnsi="仿宋" w:eastAsia="仿宋"/>
          <w:sz w:val="32"/>
          <w:highlight w:val="none"/>
        </w:rPr>
        <w:t xml:space="preserve">评价机构   </w:t>
      </w:r>
      <w:r>
        <w:rPr>
          <w:rFonts w:hint="eastAsia" w:ascii="仿宋" w:hAnsi="仿宋" w:eastAsia="仿宋"/>
          <w:sz w:val="32"/>
          <w:highlight w:val="none"/>
          <w:u w:val="single"/>
        </w:rPr>
        <w:t xml:space="preserve">  </w:t>
      </w:r>
      <w:r>
        <w:rPr>
          <w:rFonts w:hint="eastAsia" w:ascii="仿宋" w:hAnsi="仿宋" w:eastAsia="仿宋"/>
          <w:sz w:val="32"/>
          <w:highlight w:val="none"/>
          <w:u w:val="single"/>
          <w:lang w:val="en-US" w:eastAsia="zh-CN"/>
        </w:rPr>
        <w:t xml:space="preserve">  </w:t>
      </w:r>
      <w:r>
        <w:rPr>
          <w:rFonts w:hint="eastAsia" w:ascii="仿宋" w:hAnsi="仿宋" w:eastAsia="仿宋"/>
          <w:sz w:val="32"/>
          <w:szCs w:val="32"/>
          <w:highlight w:val="none"/>
          <w:u w:val="single"/>
          <w:lang w:val="zh-CN"/>
        </w:rPr>
        <w:t>唐山市冀维工程咨询有限责任公司</w:t>
      </w:r>
      <w:r>
        <w:rPr>
          <w:rFonts w:hint="eastAsia" w:ascii="仿宋" w:hAnsi="仿宋" w:eastAsia="仿宋"/>
          <w:sz w:val="32"/>
          <w:szCs w:val="32"/>
          <w:highlight w:val="none"/>
          <w:u w:val="single"/>
          <w:lang w:val="en-US" w:eastAsia="zh-CN"/>
        </w:rPr>
        <w:t xml:space="preserve"> </w:t>
      </w:r>
      <w:r>
        <w:rPr>
          <w:rFonts w:hint="eastAsia" w:ascii="仿宋" w:hAnsi="仿宋" w:eastAsia="仿宋"/>
          <w:sz w:val="32"/>
          <w:highlight w:val="none"/>
          <w:u w:val="single"/>
          <w:lang w:val="en-US" w:eastAsia="zh-CN"/>
        </w:rPr>
        <w:t xml:space="preserve"> </w:t>
      </w:r>
      <w:r>
        <w:rPr>
          <w:rFonts w:hint="eastAsia" w:ascii="仿宋" w:hAnsi="仿宋" w:eastAsia="仿宋"/>
          <w:sz w:val="32"/>
          <w:highlight w:val="none"/>
        </w:rPr>
        <w:t xml:space="preserve"> </w:t>
      </w:r>
    </w:p>
    <w:p w14:paraId="2DA2505B">
      <w:pPr>
        <w:keepNext w:val="0"/>
        <w:keepLines w:val="0"/>
        <w:pageBreakBefore w:val="0"/>
        <w:kinsoku/>
        <w:wordWrap/>
        <w:overflowPunct/>
        <w:topLinePunct w:val="0"/>
        <w:autoSpaceDE/>
        <w:autoSpaceDN/>
        <w:bidi w:val="0"/>
        <w:adjustRightInd/>
        <w:snapToGrid/>
        <w:spacing w:line="340" w:lineRule="exact"/>
        <w:jc w:val="left"/>
        <w:textAlignment w:val="auto"/>
        <w:rPr>
          <w:rFonts w:ascii="仿宋" w:hAnsi="仿宋" w:eastAsia="仿宋"/>
          <w:sz w:val="32"/>
          <w:szCs w:val="32"/>
          <w:highlight w:val="none"/>
        </w:rPr>
      </w:pPr>
    </w:p>
    <w:p w14:paraId="7D770784">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u w:val="single"/>
        </w:rPr>
      </w:pPr>
    </w:p>
    <w:p w14:paraId="6E63EEBE">
      <w:pPr>
        <w:keepNext w:val="0"/>
        <w:keepLines w:val="0"/>
        <w:pageBreakBefore w:val="0"/>
        <w:kinsoku/>
        <w:wordWrap/>
        <w:overflowPunct/>
        <w:topLinePunct w:val="0"/>
        <w:autoSpaceDE/>
        <w:autoSpaceDN/>
        <w:bidi w:val="0"/>
        <w:adjustRightInd/>
        <w:snapToGrid/>
        <w:textAlignment w:val="auto"/>
        <w:rPr>
          <w:rFonts w:ascii="仿宋" w:hAnsi="仿宋" w:eastAsia="仿宋"/>
          <w:sz w:val="30"/>
          <w:highlight w:val="none"/>
          <w:u w:val="single"/>
        </w:rPr>
      </w:pPr>
      <w:bookmarkStart w:id="18" w:name="_GoBack"/>
      <w:bookmarkEnd w:id="18"/>
    </w:p>
    <w:p w14:paraId="25DDDF08">
      <w:pPr>
        <w:keepNext w:val="0"/>
        <w:keepLines w:val="0"/>
        <w:pageBreakBefore w:val="0"/>
        <w:kinsoku/>
        <w:wordWrap/>
        <w:overflowPunct/>
        <w:topLinePunct w:val="0"/>
        <w:autoSpaceDE/>
        <w:autoSpaceDN/>
        <w:bidi w:val="0"/>
        <w:adjustRightInd/>
        <w:snapToGrid/>
        <w:jc w:val="center"/>
        <w:textAlignment w:val="auto"/>
        <w:rPr>
          <w:rFonts w:ascii="仿宋" w:hAnsi="仿宋" w:eastAsia="仿宋"/>
          <w:sz w:val="36"/>
          <w:szCs w:val="36"/>
          <w:highlight w:val="none"/>
        </w:rPr>
      </w:pPr>
      <w:r>
        <w:rPr>
          <w:rFonts w:hint="eastAsia" w:ascii="仿宋" w:hAnsi="仿宋" w:eastAsia="仿宋"/>
          <w:sz w:val="36"/>
          <w:szCs w:val="36"/>
          <w:highlight w:val="none"/>
          <w:lang w:eastAsia="zh-CN"/>
        </w:rPr>
        <w:t>玉田县农业农村局</w:t>
      </w:r>
    </w:p>
    <w:p w14:paraId="016351CC">
      <w:pPr>
        <w:keepNext w:val="0"/>
        <w:keepLines w:val="0"/>
        <w:pageBreakBefore w:val="0"/>
        <w:kinsoku/>
        <w:wordWrap/>
        <w:overflowPunct/>
        <w:topLinePunct w:val="0"/>
        <w:autoSpaceDE/>
        <w:autoSpaceDN/>
        <w:bidi w:val="0"/>
        <w:adjustRightInd/>
        <w:snapToGrid/>
        <w:jc w:val="center"/>
        <w:textAlignment w:val="auto"/>
        <w:rPr>
          <w:rFonts w:ascii="黑体" w:hAnsi="黑体" w:eastAsia="黑体" w:cs="仿宋"/>
          <w:sz w:val="32"/>
          <w:szCs w:val="32"/>
          <w:highlight w:val="none"/>
        </w:rPr>
        <w:sectPr>
          <w:footerReference r:id="rId3" w:type="default"/>
          <w:footerReference r:id="rId4" w:type="even"/>
          <w:pgSz w:w="11906" w:h="16838"/>
          <w:pgMar w:top="1440" w:right="1803" w:bottom="1440" w:left="1803" w:header="851" w:footer="992" w:gutter="0"/>
          <w:cols w:space="425" w:num="1"/>
          <w:docGrid w:type="lines" w:linePitch="312" w:charSpace="0"/>
        </w:sectPr>
      </w:pPr>
      <w:r>
        <w:rPr>
          <w:rFonts w:hint="eastAsia" w:ascii="仿宋" w:hAnsi="仿宋" w:eastAsia="仿宋"/>
          <w:sz w:val="36"/>
          <w:szCs w:val="36"/>
          <w:highlight w:val="none"/>
        </w:rPr>
        <w:t>二〇二</w:t>
      </w:r>
      <w:r>
        <w:rPr>
          <w:rFonts w:hint="eastAsia" w:ascii="仿宋" w:hAnsi="仿宋" w:eastAsia="仿宋"/>
          <w:sz w:val="36"/>
          <w:szCs w:val="36"/>
          <w:highlight w:val="none"/>
          <w:lang w:val="en-US" w:eastAsia="zh-CN"/>
        </w:rPr>
        <w:t>四</w:t>
      </w:r>
      <w:r>
        <w:rPr>
          <w:rFonts w:hint="eastAsia" w:ascii="仿宋" w:hAnsi="仿宋" w:eastAsia="仿宋"/>
          <w:sz w:val="36"/>
          <w:szCs w:val="36"/>
          <w:highlight w:val="none"/>
        </w:rPr>
        <w:t>年</w:t>
      </w:r>
      <w:r>
        <w:rPr>
          <w:rFonts w:hint="eastAsia" w:ascii="仿宋" w:hAnsi="仿宋" w:eastAsia="仿宋"/>
          <w:sz w:val="36"/>
          <w:szCs w:val="36"/>
          <w:highlight w:val="none"/>
          <w:lang w:eastAsia="zh-CN"/>
        </w:rPr>
        <w:t>三</w:t>
      </w:r>
      <w:r>
        <w:rPr>
          <w:rFonts w:hint="eastAsia" w:ascii="仿宋" w:hAnsi="仿宋" w:eastAsia="仿宋"/>
          <w:sz w:val="36"/>
          <w:szCs w:val="36"/>
          <w:highlight w:val="none"/>
        </w:rPr>
        <w:t>月</w:t>
      </w:r>
    </w:p>
    <w:p w14:paraId="3753A185">
      <w:pPr>
        <w:pStyle w:val="5"/>
        <w:keepNext w:val="0"/>
        <w:keepLines w:val="0"/>
        <w:pageBreakBefore w:val="0"/>
        <w:kinsoku/>
        <w:wordWrap/>
        <w:overflowPunct/>
        <w:topLinePunct w:val="0"/>
        <w:autoSpaceDE/>
        <w:autoSpaceDN/>
        <w:bidi w:val="0"/>
        <w:adjustRightInd/>
        <w:snapToGrid/>
        <w:textAlignment w:val="auto"/>
        <w:rPr>
          <w:highlight w:val="none"/>
          <w:lang w:val="zh-CN"/>
        </w:rPr>
      </w:pPr>
      <w:r>
        <w:rPr>
          <w:rFonts w:hint="eastAsia" w:ascii="黑体" w:hAnsi="黑体" w:eastAsia="黑体" w:cstheme="majorBidi"/>
          <w:kern w:val="0"/>
          <w:sz w:val="36"/>
          <w:szCs w:val="28"/>
          <w:highlight w:val="none"/>
          <w:lang w:val="zh-CN"/>
        </w:rPr>
        <w:t>目 录</w:t>
      </w:r>
    </w:p>
    <w:p w14:paraId="78D808FD">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rStyle w:val="10"/>
          <w:rFonts w:ascii="仿宋_GB2312" w:hAnsi="宋体" w:eastAsia="仿宋_GB2312" w:cs="仿宋"/>
          <w:b w:val="0"/>
          <w:bCs w:val="0"/>
          <w:i w:val="0"/>
          <w:iCs w:val="0"/>
          <w:color w:val="000000" w:themeColor="text1"/>
          <w:sz w:val="28"/>
          <w:szCs w:val="28"/>
          <w:highlight w:val="none"/>
          <w14:textFill>
            <w14:solidFill>
              <w14:schemeClr w14:val="tx1"/>
            </w14:solidFill>
          </w14:textFill>
        </w:rPr>
        <w:fldChar w:fldCharType="begin"/>
      </w:r>
      <w:r>
        <w:rPr>
          <w:rStyle w:val="10"/>
          <w:rFonts w:ascii="仿宋_GB2312" w:hAnsi="宋体" w:eastAsia="仿宋_GB2312" w:cs="仿宋"/>
          <w:b w:val="0"/>
          <w:bCs w:val="0"/>
          <w:i w:val="0"/>
          <w:iCs w:val="0"/>
          <w:color w:val="000000" w:themeColor="text1"/>
          <w:sz w:val="28"/>
          <w:szCs w:val="28"/>
          <w:highlight w:val="none"/>
          <w14:textFill>
            <w14:solidFill>
              <w14:schemeClr w14:val="tx1"/>
            </w14:solidFill>
          </w14:textFill>
        </w:rPr>
        <w:instrText xml:space="preserve"> TOC \o "1-3" \h \z \u </w:instrText>
      </w:r>
      <w:r>
        <w:rPr>
          <w:rStyle w:val="10"/>
          <w:rFonts w:ascii="仿宋_GB2312" w:hAnsi="宋体" w:eastAsia="仿宋_GB2312" w:cs="仿宋"/>
          <w:b w:val="0"/>
          <w:bCs w:val="0"/>
          <w:i w:val="0"/>
          <w:iCs w:val="0"/>
          <w:color w:val="000000" w:themeColor="text1"/>
          <w:sz w:val="28"/>
          <w:szCs w:val="28"/>
          <w:highlight w:val="none"/>
          <w14:textFill>
            <w14:solidFill>
              <w14:schemeClr w14:val="tx1"/>
            </w14:solidFill>
          </w14:textFill>
        </w:rPr>
        <w:fldChar w:fldCharType="separate"/>
      </w:r>
      <w:r>
        <w:rPr>
          <w:highlight w:val="none"/>
        </w:rPr>
        <w:fldChar w:fldCharType="begin"/>
      </w:r>
      <w:r>
        <w:rPr>
          <w:highlight w:val="none"/>
        </w:rPr>
        <w:instrText xml:space="preserve"> HYPERLINK \l "_Toc44343759" </w:instrText>
      </w:r>
      <w:r>
        <w:rPr>
          <w:highlight w:val="none"/>
        </w:rPr>
        <w:fldChar w:fldCharType="separate"/>
      </w:r>
      <w:r>
        <w:rPr>
          <w:rStyle w:val="10"/>
          <w:rFonts w:ascii="仿宋_GB2312" w:hAnsi="仿宋_GB2312" w:eastAsia="仿宋_GB2312" w:cs="仿宋"/>
          <w:i w:val="0"/>
          <w:iCs w:val="0"/>
          <w:sz w:val="28"/>
          <w:szCs w:val="28"/>
          <w:highlight w:val="none"/>
        </w:rPr>
        <w:t>一、项目概述</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_Toc44343759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1</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7D7C20A4">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"_Toc44343760" </w:instrText>
      </w:r>
      <w:r>
        <w:rPr>
          <w:highlight w:val="none"/>
        </w:rPr>
        <w:fldChar w:fldCharType="separate"/>
      </w:r>
      <w:r>
        <w:rPr>
          <w:rStyle w:val="10"/>
          <w:rFonts w:ascii="仿宋_GB2312" w:hAnsi="仿宋_GB2312" w:eastAsia="仿宋_GB2312" w:cs="仿宋"/>
          <w:sz w:val="28"/>
          <w:szCs w:val="28"/>
          <w:highlight w:val="none"/>
        </w:rPr>
        <w:t>（一）项目概况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_Toc44343760 \h </w:instrText>
      </w:r>
      <w:r>
        <w:rPr>
          <w:rFonts w:ascii="仿宋_GB2312" w:eastAsia="仿宋_GB2312"/>
          <w:sz w:val="28"/>
          <w:szCs w:val="28"/>
          <w:highlight w:val="none"/>
        </w:rPr>
        <w:fldChar w:fldCharType="separate"/>
      </w:r>
      <w:r>
        <w:rPr>
          <w:rFonts w:ascii="仿宋_GB2312" w:eastAsia="仿宋_GB2312"/>
          <w:sz w:val="28"/>
          <w:szCs w:val="28"/>
          <w:highlight w:val="none"/>
        </w:rPr>
        <w:t>1</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6D2195D6">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"_Toc44343761" </w:instrText>
      </w:r>
      <w:r>
        <w:rPr>
          <w:highlight w:val="none"/>
        </w:rPr>
        <w:fldChar w:fldCharType="separate"/>
      </w:r>
      <w:r>
        <w:rPr>
          <w:rStyle w:val="10"/>
          <w:rFonts w:ascii="仿宋_GB2312" w:hAnsi="仿宋_GB2312" w:eastAsia="仿宋_GB2312" w:cs="仿宋"/>
          <w:sz w:val="28"/>
          <w:szCs w:val="28"/>
          <w:highlight w:val="none"/>
        </w:rPr>
        <w:t>（二）项目资金情况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_Toc44343761 \h </w:instrText>
      </w:r>
      <w:r>
        <w:rPr>
          <w:rFonts w:ascii="仿宋_GB2312" w:eastAsia="仿宋_GB2312"/>
          <w:sz w:val="28"/>
          <w:szCs w:val="28"/>
          <w:highlight w:val="none"/>
        </w:rPr>
        <w:fldChar w:fldCharType="separate"/>
      </w:r>
      <w:r>
        <w:rPr>
          <w:rFonts w:ascii="仿宋_GB2312" w:eastAsia="仿宋_GB2312"/>
          <w:sz w:val="28"/>
          <w:szCs w:val="28"/>
          <w:highlight w:val="none"/>
        </w:rPr>
        <w:t>3</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40E12629">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"_Toc44343762" </w:instrText>
      </w:r>
      <w:r>
        <w:rPr>
          <w:highlight w:val="none"/>
        </w:rPr>
        <w:fldChar w:fldCharType="separate"/>
      </w:r>
      <w:r>
        <w:rPr>
          <w:rStyle w:val="10"/>
          <w:rFonts w:ascii="仿宋_GB2312" w:hAnsi="仿宋_GB2312" w:eastAsia="仿宋_GB2312" w:cs="仿宋"/>
          <w:sz w:val="28"/>
          <w:szCs w:val="28"/>
          <w:highlight w:val="none"/>
        </w:rPr>
        <w:t>（三）绩效目标</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_Toc44343762 \h </w:instrText>
      </w:r>
      <w:r>
        <w:rPr>
          <w:rFonts w:ascii="仿宋_GB2312" w:eastAsia="仿宋_GB2312"/>
          <w:sz w:val="28"/>
          <w:szCs w:val="28"/>
          <w:highlight w:val="none"/>
        </w:rPr>
        <w:fldChar w:fldCharType="separate"/>
      </w:r>
      <w:r>
        <w:rPr>
          <w:rFonts w:ascii="仿宋_GB2312" w:eastAsia="仿宋_GB2312"/>
          <w:sz w:val="28"/>
          <w:szCs w:val="28"/>
          <w:highlight w:val="none"/>
        </w:rPr>
        <w:t>3</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5C3F81E6">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"_Toc44343763" </w:instrText>
      </w:r>
      <w:r>
        <w:rPr>
          <w:highlight w:val="none"/>
        </w:rPr>
        <w:fldChar w:fldCharType="separate"/>
      </w:r>
      <w:r>
        <w:rPr>
          <w:rStyle w:val="10"/>
          <w:rFonts w:hint="eastAsia" w:ascii="仿宋_GB2312" w:eastAsia="仿宋_GB2312"/>
          <w:i w:val="0"/>
          <w:iCs w:val="0"/>
          <w:kern w:val="0"/>
          <w:sz w:val="28"/>
          <w:szCs w:val="28"/>
          <w:highlight w:val="none"/>
        </w:rPr>
        <w:t>二、评价工作简述</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_Toc44343763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4</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30C1F9DA">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"_Toc44343764" </w:instrText>
      </w:r>
      <w:r>
        <w:rPr>
          <w:highlight w:val="none"/>
        </w:rPr>
        <w:fldChar w:fldCharType="separate"/>
      </w:r>
      <w:r>
        <w:rPr>
          <w:rStyle w:val="10"/>
          <w:rFonts w:ascii="仿宋_GB2312" w:hAnsi="仿宋_GB2312" w:eastAsia="仿宋_GB2312" w:cs="仿宋"/>
          <w:sz w:val="28"/>
          <w:szCs w:val="28"/>
          <w:highlight w:val="none"/>
        </w:rPr>
        <w:t>（一）基本情况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_Toc44343764 \h </w:instrText>
      </w:r>
      <w:r>
        <w:rPr>
          <w:rFonts w:ascii="仿宋_GB2312" w:eastAsia="仿宋_GB2312"/>
          <w:sz w:val="28"/>
          <w:szCs w:val="28"/>
          <w:highlight w:val="none"/>
        </w:rPr>
        <w:fldChar w:fldCharType="separate"/>
      </w:r>
      <w:r>
        <w:rPr>
          <w:rFonts w:ascii="仿宋_GB2312" w:eastAsia="仿宋_GB2312"/>
          <w:sz w:val="28"/>
          <w:szCs w:val="28"/>
          <w:highlight w:val="none"/>
        </w:rPr>
        <w:t>5</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145075AF">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"_Toc44343765" </w:instrText>
      </w:r>
      <w:r>
        <w:rPr>
          <w:highlight w:val="none"/>
        </w:rPr>
        <w:fldChar w:fldCharType="separate"/>
      </w:r>
      <w:r>
        <w:rPr>
          <w:rStyle w:val="10"/>
          <w:rFonts w:ascii="仿宋_GB2312" w:hAnsi="仿宋_GB2312" w:eastAsia="仿宋_GB2312" w:cs="仿宋"/>
          <w:sz w:val="28"/>
          <w:szCs w:val="28"/>
          <w:highlight w:val="none"/>
        </w:rPr>
        <w:t>（二）评价组织实施</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_Toc44343765 \h </w:instrText>
      </w:r>
      <w:r>
        <w:rPr>
          <w:rFonts w:ascii="仿宋_GB2312" w:eastAsia="仿宋_GB2312"/>
          <w:sz w:val="28"/>
          <w:szCs w:val="28"/>
          <w:highlight w:val="none"/>
        </w:rPr>
        <w:fldChar w:fldCharType="separate"/>
      </w:r>
      <w:r>
        <w:rPr>
          <w:rFonts w:ascii="仿宋_GB2312" w:eastAsia="仿宋_GB2312"/>
          <w:sz w:val="28"/>
          <w:szCs w:val="28"/>
          <w:highlight w:val="none"/>
        </w:rPr>
        <w:t>6</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261A8F2A">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"_Toc44343766" </w:instrText>
      </w:r>
      <w:r>
        <w:rPr>
          <w:highlight w:val="none"/>
        </w:rPr>
        <w:fldChar w:fldCharType="separate"/>
      </w:r>
      <w:r>
        <w:rPr>
          <w:rStyle w:val="10"/>
          <w:rFonts w:ascii="仿宋_GB2312" w:hAnsi="仿宋_GB2312" w:eastAsia="仿宋_GB2312" w:cs="仿宋"/>
          <w:i w:val="0"/>
          <w:iCs w:val="0"/>
          <w:sz w:val="28"/>
          <w:szCs w:val="28"/>
          <w:highlight w:val="none"/>
        </w:rPr>
        <w:t>三、总体评价结论</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_Toc44343766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8</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64D70CB8">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"_Toc44343767" </w:instrText>
      </w:r>
      <w:r>
        <w:rPr>
          <w:highlight w:val="none"/>
        </w:rPr>
        <w:fldChar w:fldCharType="separate"/>
      </w:r>
      <w:r>
        <w:rPr>
          <w:rStyle w:val="10"/>
          <w:rFonts w:ascii="仿宋_GB2312" w:hAnsi="仿宋_GB2312" w:eastAsia="仿宋_GB2312" w:cs="仿宋"/>
          <w:sz w:val="28"/>
          <w:szCs w:val="28"/>
          <w:highlight w:val="none"/>
        </w:rPr>
        <w:t>（一）评价得分情况</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_Toc44343767 \h </w:instrText>
      </w:r>
      <w:r>
        <w:rPr>
          <w:rFonts w:ascii="仿宋_GB2312" w:eastAsia="仿宋_GB2312"/>
          <w:sz w:val="28"/>
          <w:szCs w:val="28"/>
          <w:highlight w:val="none"/>
        </w:rPr>
        <w:fldChar w:fldCharType="separate"/>
      </w:r>
      <w:r>
        <w:rPr>
          <w:rFonts w:ascii="仿宋_GB2312" w:eastAsia="仿宋_GB2312"/>
          <w:sz w:val="28"/>
          <w:szCs w:val="28"/>
          <w:highlight w:val="none"/>
        </w:rPr>
        <w:t>8</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2F9F9EAA">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"_Toc44343768" </w:instrText>
      </w:r>
      <w:r>
        <w:rPr>
          <w:highlight w:val="none"/>
        </w:rPr>
        <w:fldChar w:fldCharType="separate"/>
      </w:r>
      <w:r>
        <w:rPr>
          <w:rStyle w:val="10"/>
          <w:rFonts w:ascii="仿宋_GB2312" w:hAnsi="仿宋_GB2312" w:eastAsia="仿宋_GB2312" w:cs="仿宋"/>
          <w:sz w:val="28"/>
          <w:szCs w:val="28"/>
          <w:highlight w:val="none"/>
        </w:rPr>
        <w:t>（二）项目所实现的主要绩效</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_Toc44343768 \h </w:instrText>
      </w:r>
      <w:r>
        <w:rPr>
          <w:rFonts w:ascii="仿宋_GB2312" w:eastAsia="仿宋_GB2312"/>
          <w:sz w:val="28"/>
          <w:szCs w:val="28"/>
          <w:highlight w:val="none"/>
        </w:rPr>
        <w:fldChar w:fldCharType="separate"/>
      </w:r>
      <w:r>
        <w:rPr>
          <w:rFonts w:ascii="仿宋_GB2312" w:eastAsia="仿宋_GB2312"/>
          <w:sz w:val="28"/>
          <w:szCs w:val="28"/>
          <w:highlight w:val="none"/>
        </w:rPr>
        <w:t>9</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2549F6B1">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"_Toc44343769" </w:instrText>
      </w:r>
      <w:r>
        <w:rPr>
          <w:highlight w:val="none"/>
        </w:rPr>
        <w:fldChar w:fldCharType="separate"/>
      </w:r>
      <w:r>
        <w:rPr>
          <w:rStyle w:val="10"/>
          <w:rFonts w:ascii="仿宋_GB2312" w:hAnsi="仿宋_GB2312" w:eastAsia="仿宋_GB2312" w:cs="仿宋"/>
          <w:i w:val="0"/>
          <w:iCs w:val="0"/>
          <w:sz w:val="28"/>
          <w:szCs w:val="28"/>
          <w:highlight w:val="none"/>
        </w:rPr>
        <w:t>四、绩效评价分析</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_Toc44343769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9</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5ED41964">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"_Toc44343770" </w:instrText>
      </w:r>
      <w:r>
        <w:rPr>
          <w:highlight w:val="none"/>
        </w:rPr>
        <w:fldChar w:fldCharType="separate"/>
      </w:r>
      <w:r>
        <w:rPr>
          <w:rStyle w:val="10"/>
          <w:rFonts w:ascii="仿宋_GB2312" w:hAnsi="仿宋_GB2312" w:eastAsia="仿宋_GB2312" w:cs="仿宋"/>
          <w:sz w:val="28"/>
          <w:szCs w:val="28"/>
          <w:highlight w:val="none"/>
        </w:rPr>
        <w:t>（一）项目决策情况分析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_Toc44343770 \h </w:instrText>
      </w:r>
      <w:r>
        <w:rPr>
          <w:rFonts w:ascii="仿宋_GB2312" w:eastAsia="仿宋_GB2312"/>
          <w:sz w:val="28"/>
          <w:szCs w:val="28"/>
          <w:highlight w:val="none"/>
        </w:rPr>
        <w:fldChar w:fldCharType="separate"/>
      </w:r>
      <w:r>
        <w:rPr>
          <w:rFonts w:ascii="仿宋_GB2312" w:eastAsia="仿宋_GB2312"/>
          <w:sz w:val="28"/>
          <w:szCs w:val="28"/>
          <w:highlight w:val="none"/>
        </w:rPr>
        <w:t>9</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04D6EE27">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"_Toc44343771" </w:instrText>
      </w:r>
      <w:r>
        <w:rPr>
          <w:highlight w:val="none"/>
        </w:rPr>
        <w:fldChar w:fldCharType="separate"/>
      </w:r>
      <w:r>
        <w:rPr>
          <w:rStyle w:val="10"/>
          <w:rFonts w:ascii="仿宋_GB2312" w:hAnsi="仿宋_GB2312" w:eastAsia="仿宋_GB2312" w:cs="仿宋"/>
          <w:sz w:val="28"/>
          <w:szCs w:val="28"/>
          <w:highlight w:val="none"/>
        </w:rPr>
        <w:t>（二）项目过程管理情况分析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_Toc44343771 \h </w:instrText>
      </w:r>
      <w:r>
        <w:rPr>
          <w:rFonts w:ascii="仿宋_GB2312" w:eastAsia="仿宋_GB2312"/>
          <w:sz w:val="28"/>
          <w:szCs w:val="28"/>
          <w:highlight w:val="none"/>
        </w:rPr>
        <w:fldChar w:fldCharType="separate"/>
      </w:r>
      <w:r>
        <w:rPr>
          <w:rFonts w:ascii="仿宋_GB2312" w:eastAsia="仿宋_GB2312"/>
          <w:sz w:val="28"/>
          <w:szCs w:val="28"/>
          <w:highlight w:val="none"/>
        </w:rPr>
        <w:t>11</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057D44F7">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"_Toc44343772" </w:instrText>
      </w:r>
      <w:r>
        <w:rPr>
          <w:highlight w:val="none"/>
        </w:rPr>
        <w:fldChar w:fldCharType="separate"/>
      </w:r>
      <w:r>
        <w:rPr>
          <w:rStyle w:val="10"/>
          <w:rFonts w:ascii="仿宋_GB2312" w:hAnsi="仿宋_GB2312" w:eastAsia="仿宋_GB2312" w:cs="仿宋"/>
          <w:sz w:val="28"/>
          <w:szCs w:val="28"/>
          <w:highlight w:val="none"/>
        </w:rPr>
        <w:t>（三）项目产出完成情况分析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_Toc44343772 \h </w:instrText>
      </w:r>
      <w:r>
        <w:rPr>
          <w:rFonts w:ascii="仿宋_GB2312" w:eastAsia="仿宋_GB2312"/>
          <w:sz w:val="28"/>
          <w:szCs w:val="28"/>
          <w:highlight w:val="none"/>
        </w:rPr>
        <w:fldChar w:fldCharType="separate"/>
      </w:r>
      <w:r>
        <w:rPr>
          <w:rFonts w:ascii="仿宋_GB2312" w:eastAsia="仿宋_GB2312"/>
          <w:sz w:val="28"/>
          <w:szCs w:val="28"/>
          <w:highlight w:val="none"/>
        </w:rPr>
        <w:t>14</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451E40D9">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"_Toc44343773" </w:instrText>
      </w:r>
      <w:r>
        <w:rPr>
          <w:highlight w:val="none"/>
        </w:rPr>
        <w:fldChar w:fldCharType="separate"/>
      </w:r>
      <w:r>
        <w:rPr>
          <w:rStyle w:val="10"/>
          <w:rFonts w:ascii="仿宋_GB2312" w:hAnsi="仿宋_GB2312" w:eastAsia="仿宋_GB2312" w:cs="仿宋"/>
          <w:sz w:val="28"/>
          <w:szCs w:val="28"/>
          <w:highlight w:val="none"/>
        </w:rPr>
        <w:t>（四）项目效益实现情况分析</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_Toc44343773 \h </w:instrText>
      </w:r>
      <w:r>
        <w:rPr>
          <w:rFonts w:ascii="仿宋_GB2312" w:eastAsia="仿宋_GB2312"/>
          <w:sz w:val="28"/>
          <w:szCs w:val="28"/>
          <w:highlight w:val="none"/>
        </w:rPr>
        <w:fldChar w:fldCharType="separate"/>
      </w:r>
      <w:r>
        <w:rPr>
          <w:rFonts w:ascii="仿宋_GB2312" w:eastAsia="仿宋_GB2312"/>
          <w:sz w:val="28"/>
          <w:szCs w:val="28"/>
          <w:highlight w:val="none"/>
        </w:rPr>
        <w:t>16</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14A27958">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"_Toc44343774" </w:instrText>
      </w:r>
      <w:r>
        <w:rPr>
          <w:highlight w:val="none"/>
        </w:rPr>
        <w:fldChar w:fldCharType="separate"/>
      </w:r>
      <w:r>
        <w:rPr>
          <w:rStyle w:val="10"/>
          <w:rFonts w:ascii="仿宋_GB2312" w:hAnsi="仿宋_GB2312" w:eastAsia="仿宋_GB2312" w:cs="仿宋"/>
          <w:i w:val="0"/>
          <w:iCs w:val="0"/>
          <w:sz w:val="28"/>
          <w:szCs w:val="28"/>
          <w:highlight w:val="none"/>
        </w:rPr>
        <w:t>五、存在的主要问题及相关建议</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_Toc44343774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18</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3B03F70A">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"_Toc44343775" </w:instrText>
      </w:r>
      <w:r>
        <w:rPr>
          <w:highlight w:val="none"/>
        </w:rPr>
        <w:fldChar w:fldCharType="separate"/>
      </w:r>
      <w:r>
        <w:rPr>
          <w:rStyle w:val="10"/>
          <w:rFonts w:ascii="仿宋_GB2312" w:hAnsi="仿宋_GB2312" w:eastAsia="仿宋_GB2312" w:cs="仿宋"/>
          <w:sz w:val="28"/>
          <w:szCs w:val="28"/>
          <w:highlight w:val="none"/>
        </w:rPr>
        <w:t>（一）存在的主要问题</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_Toc44343775 \h </w:instrText>
      </w:r>
      <w:r>
        <w:rPr>
          <w:rFonts w:ascii="仿宋_GB2312" w:eastAsia="仿宋_GB2312"/>
          <w:sz w:val="28"/>
          <w:szCs w:val="28"/>
          <w:highlight w:val="none"/>
        </w:rPr>
        <w:fldChar w:fldCharType="separate"/>
      </w:r>
      <w:r>
        <w:rPr>
          <w:rFonts w:ascii="仿宋_GB2312" w:eastAsia="仿宋_GB2312"/>
          <w:sz w:val="28"/>
          <w:szCs w:val="28"/>
          <w:highlight w:val="none"/>
        </w:rPr>
        <w:t>18</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0546AAC5">
      <w:pPr>
        <w:pStyle w:val="5"/>
        <w:keepNext w:val="0"/>
        <w:keepLines w:val="0"/>
        <w:pageBreakBefore w:val="0"/>
        <w:kinsoku/>
        <w:wordWrap/>
        <w:overflowPunct/>
        <w:topLinePunct w:val="0"/>
        <w:autoSpaceDE/>
        <w:autoSpaceDN/>
        <w:bidi w:val="0"/>
        <w:adjustRightInd/>
        <w:snapToGrid/>
        <w:spacing w:line="360" w:lineRule="auto"/>
        <w:textAlignment w:val="auto"/>
        <w:rPr>
          <w:rFonts w:ascii="仿宋_GB2312" w:eastAsia="仿宋_GB2312" w:hAnsiTheme="minorHAnsi" w:cstheme="minorBidi"/>
          <w:sz w:val="28"/>
          <w:szCs w:val="28"/>
          <w:highlight w:val="none"/>
        </w:rPr>
      </w:pPr>
      <w:r>
        <w:rPr>
          <w:highlight w:val="none"/>
        </w:rPr>
        <w:fldChar w:fldCharType="begin"/>
      </w:r>
      <w:r>
        <w:rPr>
          <w:highlight w:val="none"/>
        </w:rPr>
        <w:instrText xml:space="preserve"> HYPERLINK \l "_Toc44343776" </w:instrText>
      </w:r>
      <w:r>
        <w:rPr>
          <w:highlight w:val="none"/>
        </w:rPr>
        <w:fldChar w:fldCharType="separate"/>
      </w:r>
      <w:r>
        <w:rPr>
          <w:rStyle w:val="10"/>
          <w:rFonts w:ascii="仿宋_GB2312" w:hAnsi="仿宋_GB2312" w:eastAsia="仿宋_GB2312" w:cs="仿宋"/>
          <w:sz w:val="28"/>
          <w:szCs w:val="28"/>
          <w:highlight w:val="none"/>
        </w:rPr>
        <w:t>（二）相关建议</w:t>
      </w:r>
      <w:r>
        <w:rPr>
          <w:rFonts w:ascii="仿宋_GB2312" w:eastAsia="仿宋_GB2312"/>
          <w:sz w:val="28"/>
          <w:szCs w:val="28"/>
          <w:highlight w:val="none"/>
        </w:rPr>
        <w:tab/>
      </w:r>
      <w:r>
        <w:rPr>
          <w:rFonts w:ascii="仿宋_GB2312" w:eastAsia="仿宋_GB2312"/>
          <w:sz w:val="28"/>
          <w:szCs w:val="28"/>
          <w:highlight w:val="none"/>
        </w:rPr>
        <w:fldChar w:fldCharType="begin"/>
      </w:r>
      <w:r>
        <w:rPr>
          <w:rFonts w:ascii="仿宋_GB2312" w:eastAsia="仿宋_GB2312"/>
          <w:sz w:val="28"/>
          <w:szCs w:val="28"/>
          <w:highlight w:val="none"/>
        </w:rPr>
        <w:instrText xml:space="preserve"> PAGEREF _Toc44343776 \h </w:instrText>
      </w:r>
      <w:r>
        <w:rPr>
          <w:rFonts w:ascii="仿宋_GB2312" w:eastAsia="仿宋_GB2312"/>
          <w:sz w:val="28"/>
          <w:szCs w:val="28"/>
          <w:highlight w:val="none"/>
        </w:rPr>
        <w:fldChar w:fldCharType="separate"/>
      </w:r>
      <w:r>
        <w:rPr>
          <w:rFonts w:ascii="仿宋_GB2312" w:eastAsia="仿宋_GB2312"/>
          <w:sz w:val="28"/>
          <w:szCs w:val="28"/>
          <w:highlight w:val="none"/>
        </w:rPr>
        <w:t>21</w:t>
      </w:r>
      <w:r>
        <w:rPr>
          <w:rFonts w:ascii="仿宋_GB2312" w:eastAsia="仿宋_GB2312"/>
          <w:sz w:val="28"/>
          <w:szCs w:val="28"/>
          <w:highlight w:val="none"/>
        </w:rPr>
        <w:fldChar w:fldCharType="end"/>
      </w:r>
      <w:r>
        <w:rPr>
          <w:rFonts w:ascii="仿宋_GB2312" w:eastAsia="仿宋_GB2312"/>
          <w:sz w:val="28"/>
          <w:szCs w:val="28"/>
          <w:highlight w:val="none"/>
        </w:rPr>
        <w:fldChar w:fldCharType="end"/>
      </w:r>
    </w:p>
    <w:p w14:paraId="2246B1CE">
      <w:pPr>
        <w:pStyle w:val="4"/>
        <w:keepNext w:val="0"/>
        <w:keepLines w:val="0"/>
        <w:pageBreakBefore w:val="0"/>
        <w:tabs>
          <w:tab w:val="right" w:leader="dot" w:pos="8290"/>
        </w:tabs>
        <w:kinsoku/>
        <w:wordWrap/>
        <w:overflowPunct/>
        <w:topLinePunct w:val="0"/>
        <w:autoSpaceDE/>
        <w:autoSpaceDN/>
        <w:bidi w:val="0"/>
        <w:adjustRightInd/>
        <w:snapToGrid/>
        <w:spacing w:before="0" w:line="360" w:lineRule="auto"/>
        <w:textAlignment w:val="auto"/>
        <w:rPr>
          <w:rFonts w:ascii="仿宋_GB2312" w:eastAsia="仿宋_GB2312" w:hAnsiTheme="minorHAnsi" w:cstheme="minorBidi"/>
          <w:i w:val="0"/>
          <w:iCs w:val="0"/>
          <w:sz w:val="28"/>
          <w:szCs w:val="28"/>
          <w:highlight w:val="none"/>
        </w:rPr>
      </w:pPr>
      <w:r>
        <w:rPr>
          <w:highlight w:val="none"/>
        </w:rPr>
        <w:fldChar w:fldCharType="begin"/>
      </w:r>
      <w:r>
        <w:rPr>
          <w:highlight w:val="none"/>
        </w:rPr>
        <w:instrText xml:space="preserve"> HYPERLINK \l "_Toc44343777" </w:instrText>
      </w:r>
      <w:r>
        <w:rPr>
          <w:highlight w:val="none"/>
        </w:rPr>
        <w:fldChar w:fldCharType="separate"/>
      </w:r>
      <w:r>
        <w:rPr>
          <w:rStyle w:val="10"/>
          <w:rFonts w:ascii="仿宋_GB2312" w:hAnsi="仿宋_GB2312" w:eastAsia="仿宋_GB2312" w:cs="仿宋"/>
          <w:i w:val="0"/>
          <w:iCs w:val="0"/>
          <w:sz w:val="28"/>
          <w:szCs w:val="28"/>
          <w:highlight w:val="none"/>
        </w:rPr>
        <w:t>六、附件</w:t>
      </w:r>
      <w:r>
        <w:rPr>
          <w:rFonts w:ascii="仿宋_GB2312" w:eastAsia="仿宋_GB2312"/>
          <w:i w:val="0"/>
          <w:iCs w:val="0"/>
          <w:sz w:val="28"/>
          <w:szCs w:val="28"/>
          <w:highlight w:val="none"/>
        </w:rPr>
        <w:tab/>
      </w:r>
      <w:r>
        <w:rPr>
          <w:rFonts w:ascii="仿宋_GB2312" w:eastAsia="仿宋_GB2312"/>
          <w:i w:val="0"/>
          <w:iCs w:val="0"/>
          <w:sz w:val="28"/>
          <w:szCs w:val="28"/>
          <w:highlight w:val="none"/>
        </w:rPr>
        <w:fldChar w:fldCharType="begin"/>
      </w:r>
      <w:r>
        <w:rPr>
          <w:rFonts w:ascii="仿宋_GB2312" w:eastAsia="仿宋_GB2312"/>
          <w:i w:val="0"/>
          <w:iCs w:val="0"/>
          <w:sz w:val="28"/>
          <w:szCs w:val="28"/>
          <w:highlight w:val="none"/>
        </w:rPr>
        <w:instrText xml:space="preserve"> PAGEREF _Toc44343777 \h </w:instrText>
      </w:r>
      <w:r>
        <w:rPr>
          <w:rFonts w:ascii="仿宋_GB2312" w:eastAsia="仿宋_GB2312"/>
          <w:i w:val="0"/>
          <w:iCs w:val="0"/>
          <w:sz w:val="28"/>
          <w:szCs w:val="28"/>
          <w:highlight w:val="none"/>
        </w:rPr>
        <w:fldChar w:fldCharType="separate"/>
      </w:r>
      <w:r>
        <w:rPr>
          <w:rFonts w:ascii="仿宋_GB2312" w:eastAsia="仿宋_GB2312"/>
          <w:i w:val="0"/>
          <w:iCs w:val="0"/>
          <w:sz w:val="28"/>
          <w:szCs w:val="28"/>
          <w:highlight w:val="none"/>
        </w:rPr>
        <w:t>23</w:t>
      </w:r>
      <w:r>
        <w:rPr>
          <w:rFonts w:ascii="仿宋_GB2312" w:eastAsia="仿宋_GB2312"/>
          <w:i w:val="0"/>
          <w:iCs w:val="0"/>
          <w:sz w:val="28"/>
          <w:szCs w:val="28"/>
          <w:highlight w:val="none"/>
        </w:rPr>
        <w:fldChar w:fldCharType="end"/>
      </w:r>
      <w:r>
        <w:rPr>
          <w:rFonts w:ascii="仿宋_GB2312" w:eastAsia="仿宋_GB2312"/>
          <w:i w:val="0"/>
          <w:iCs w:val="0"/>
          <w:sz w:val="28"/>
          <w:szCs w:val="28"/>
          <w:highlight w:val="none"/>
        </w:rPr>
        <w:fldChar w:fldCharType="end"/>
      </w:r>
    </w:p>
    <w:p w14:paraId="3CCB24BB">
      <w:pPr>
        <w:pStyle w:val="5"/>
        <w:keepNext w:val="0"/>
        <w:keepLines w:val="0"/>
        <w:pageBreakBefore w:val="0"/>
        <w:kinsoku/>
        <w:wordWrap/>
        <w:overflowPunct/>
        <w:topLinePunct w:val="0"/>
        <w:autoSpaceDE/>
        <w:autoSpaceDN/>
        <w:bidi w:val="0"/>
        <w:adjustRightInd/>
        <w:snapToGrid/>
        <w:textAlignment w:val="auto"/>
        <w:rPr>
          <w:highlight w:val="none"/>
        </w:rPr>
        <w:sectPr>
          <w:footerReference r:id="rId5" w:type="default"/>
          <w:pgSz w:w="11900" w:h="16840"/>
          <w:pgMar w:top="1440" w:right="1800" w:bottom="1440" w:left="1800" w:header="851" w:footer="992" w:gutter="0"/>
          <w:pgNumType w:start="1"/>
          <w:cols w:space="425" w:num="1"/>
          <w:titlePg/>
          <w:docGrid w:type="lines" w:linePitch="312" w:charSpace="0"/>
        </w:sectPr>
      </w:pPr>
      <w:r>
        <w:rPr>
          <w:rStyle w:val="10"/>
          <w:rFonts w:ascii="仿宋_GB2312" w:hAnsi="宋体" w:eastAsia="仿宋_GB2312" w:cs="仿宋"/>
          <w:color w:val="000000" w:themeColor="text1"/>
          <w:sz w:val="28"/>
          <w:szCs w:val="28"/>
          <w:highlight w:val="none"/>
          <w14:textFill>
            <w14:solidFill>
              <w14:schemeClr w14:val="tx1"/>
            </w14:solidFill>
          </w14:textFill>
        </w:rPr>
        <w:fldChar w:fldCharType="end"/>
      </w:r>
      <w:r>
        <w:rPr>
          <w:highlight w:val="none"/>
        </w:rPr>
        <w:br w:type="page"/>
      </w:r>
    </w:p>
    <w:p w14:paraId="41A4E0CF">
      <w:pPr>
        <w:keepNext w:val="0"/>
        <w:keepLines w:val="0"/>
        <w:pageBreakBefore w:val="0"/>
        <w:kinsoku/>
        <w:wordWrap/>
        <w:overflowPunct/>
        <w:topLinePunct w:val="0"/>
        <w:autoSpaceDE/>
        <w:autoSpaceDN/>
        <w:bidi w:val="0"/>
        <w:adjustRightInd/>
        <w:snapToGrid/>
        <w:spacing w:line="360" w:lineRule="auto"/>
        <w:jc w:val="center"/>
        <w:textAlignment w:val="auto"/>
        <w:rPr>
          <w:rFonts w:ascii="黑体" w:hAnsi="黑体" w:eastAsia="黑体" w:cs="仿宋"/>
          <w:sz w:val="32"/>
          <w:szCs w:val="32"/>
          <w:highlight w:val="none"/>
        </w:rPr>
      </w:pPr>
      <w:r>
        <w:rPr>
          <w:rFonts w:hint="eastAsia" w:ascii="黑体" w:hAnsi="黑体" w:eastAsia="黑体" w:cs="仿宋"/>
          <w:sz w:val="32"/>
          <w:szCs w:val="32"/>
          <w:highlight w:val="none"/>
          <w:lang w:eastAsia="zh-CN"/>
        </w:rPr>
        <w:t>玉田县农业农村局冀财债【2023】42号文2023年第七批政府债券玉田县农业人居环境综合整治项目</w:t>
      </w:r>
      <w:r>
        <w:rPr>
          <w:rFonts w:hint="eastAsia" w:ascii="黑体" w:hAnsi="黑体" w:eastAsia="黑体" w:cs="仿宋"/>
          <w:sz w:val="32"/>
          <w:szCs w:val="32"/>
          <w:highlight w:val="none"/>
        </w:rPr>
        <w:t>绩效评价报告</w:t>
      </w:r>
    </w:p>
    <w:p w14:paraId="369ABB4D">
      <w:pPr>
        <w:keepNext w:val="0"/>
        <w:keepLines w:val="0"/>
        <w:pageBreakBefore w:val="0"/>
        <w:kinsoku/>
        <w:wordWrap/>
        <w:overflowPunct/>
        <w:topLinePunct w:val="0"/>
        <w:autoSpaceDE/>
        <w:autoSpaceDN/>
        <w:bidi w:val="0"/>
        <w:adjustRightInd/>
        <w:snapToGrid/>
        <w:textAlignment w:val="auto"/>
        <w:rPr>
          <w:b/>
          <w:bCs/>
          <w:i/>
          <w:iCs/>
          <w:highlight w:val="none"/>
        </w:rPr>
      </w:pPr>
    </w:p>
    <w:p w14:paraId="4CD8B680">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1" w:name="_Toc44343759"/>
      <w:r>
        <w:rPr>
          <w:rFonts w:hint="eastAsia" w:ascii="仿宋_GB2312" w:hAnsi="仿宋_GB2312" w:eastAsia="仿宋_GB2312" w:cs="仿宋"/>
          <w:b/>
          <w:sz w:val="28"/>
          <w:szCs w:val="28"/>
          <w:highlight w:val="none"/>
        </w:rPr>
        <w:t>一、项目概述</w:t>
      </w:r>
      <w:bookmarkEnd w:id="1"/>
    </w:p>
    <w:p w14:paraId="4535A593">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2" w:name="_Toc44343760"/>
      <w:r>
        <w:rPr>
          <w:rFonts w:hint="eastAsia" w:ascii="仿宋_GB2312" w:hAnsi="仿宋_GB2312" w:eastAsia="仿宋_GB2312" w:cs="仿宋"/>
          <w:b/>
          <w:sz w:val="28"/>
          <w:szCs w:val="28"/>
          <w:highlight w:val="none"/>
        </w:rPr>
        <w:t>（一）项目概况</w:t>
      </w:r>
      <w:bookmarkEnd w:id="2"/>
    </w:p>
    <w:p w14:paraId="4C6842E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default" w:ascii="仿宋_GB2312" w:hAnsi="仿宋_GB2312" w:eastAsia="仿宋_GB2312" w:cs="仿宋"/>
          <w:b/>
          <w:sz w:val="28"/>
          <w:szCs w:val="28"/>
          <w:highlight w:val="none"/>
          <w:lang w:val="en-US" w:eastAsia="zh-CN"/>
        </w:rPr>
      </w:pPr>
      <w:r>
        <w:rPr>
          <w:rFonts w:hint="eastAsia" w:ascii="仿宋_GB2312" w:hAnsi="仿宋_GB2312" w:eastAsia="仿宋_GB2312" w:cs="仿宋"/>
          <w:b/>
          <w:sz w:val="28"/>
          <w:szCs w:val="28"/>
          <w:highlight w:val="none"/>
        </w:rPr>
        <w:t>1</w:t>
      </w:r>
      <w:r>
        <w:rPr>
          <w:rFonts w:ascii="仿宋_GB2312" w:hAnsi="仿宋_GB2312" w:eastAsia="仿宋_GB2312" w:cs="仿宋"/>
          <w:b/>
          <w:sz w:val="28"/>
          <w:szCs w:val="28"/>
          <w:highlight w:val="none"/>
        </w:rPr>
        <w:t>.项目立项背景</w:t>
      </w:r>
      <w:r>
        <w:rPr>
          <w:rFonts w:hint="eastAsia" w:ascii="仿宋_GB2312" w:hAnsi="仿宋_GB2312" w:eastAsia="仿宋_GB2312" w:cs="仿宋"/>
          <w:b/>
          <w:sz w:val="28"/>
          <w:szCs w:val="28"/>
          <w:highlight w:val="none"/>
          <w:lang w:val="en-US" w:eastAsia="zh-CN"/>
        </w:rPr>
        <w:t>和必要性</w:t>
      </w:r>
    </w:p>
    <w:p w14:paraId="633329E2">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lang w:val="en-US" w:eastAsia="zh-CN"/>
        </w:rPr>
      </w:pPr>
      <w:r>
        <w:rPr>
          <w:rFonts w:hint="eastAsia" w:ascii="Times New Roman" w:hAnsi="Times New Roman" w:eastAsia="仿宋_GB2312" w:cs="Times New Roman"/>
          <w:kern w:val="2"/>
          <w:sz w:val="28"/>
          <w:szCs w:val="28"/>
          <w:highlight w:val="none"/>
          <w:lang w:val="en-US" w:eastAsia="zh-CN"/>
        </w:rPr>
        <w:t>1、推动玉田县创新发展、绿色发展、高质量发展的需要本项目的实施是贯彻玉田县“十四五”规划，实现二〇三五年经济社会发展目标的重要举措。玉田县“十四五”规划要求，各级各部门要紧紧围绕四个发展定位，全面落实市委“七个一体化”部署，推动产业链、供应链、价值链、创新链向高端化迈进，带动玉田县深度融入京津冀大市场。本项目实施将打造优质承接平台，进一步夯实玉田县印机产业基础，按照“长短结合、多点支撑”要求，以精准利益联结为核心，进一步健全完善产业支撑体系；围绕提升开发区综合承载能力，完善园区基础设施，提升建设运营水平，有力推动玉田县创新发展、绿色发展、高质量发展。</w:t>
      </w:r>
    </w:p>
    <w:p w14:paraId="4C52FC8C">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lang w:val="en-US" w:eastAsia="zh-CN"/>
        </w:rPr>
      </w:pPr>
      <w:r>
        <w:rPr>
          <w:rFonts w:hint="eastAsia" w:ascii="Times New Roman" w:hAnsi="Times New Roman" w:eastAsia="仿宋_GB2312" w:cs="Times New Roman"/>
          <w:kern w:val="2"/>
          <w:sz w:val="28"/>
          <w:szCs w:val="28"/>
          <w:highlight w:val="none"/>
          <w:lang w:val="en-US" w:eastAsia="zh-CN"/>
        </w:rPr>
        <w:t>2、是实现玉田县经济开发区规划目标的需要</w:t>
      </w:r>
    </w:p>
    <w:p w14:paraId="77F142EB">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lang w:val="en-US" w:eastAsia="zh-CN"/>
        </w:rPr>
      </w:pPr>
      <w:r>
        <w:rPr>
          <w:rFonts w:hint="eastAsia" w:ascii="Times New Roman" w:hAnsi="Times New Roman" w:eastAsia="仿宋_GB2312" w:cs="Times New Roman"/>
          <w:kern w:val="2"/>
          <w:sz w:val="28"/>
          <w:szCs w:val="28"/>
          <w:highlight w:val="none"/>
          <w:lang w:val="en-US" w:eastAsia="zh-CN"/>
        </w:rPr>
        <w:t>（1）京秦唐轴线上承接京津产业转移重要的专业化、特色化平台按照京津冀协同发展战略，在开发区积极推动、谋划新兴产业园区的建设，依据资源禀赋、产业基础、发展潜力等，打造冀东地区承接京津产业转移重要的专业化、特色化平台，主动承接京津功能疏解产业转移。同时以培育发展新兴产业、完善创新创业生态为己任，着力加快推进京津战略性新兴产业对接协作，理顺产业链发展，调整优化功能布局和空间结构，增强产业转移的针对性和承接平台吸引力，围绕深化体制机制改革、创新园区管理模式和运行机制、加大资金支持力度、加强土地供应保障和资源环境保护等提出一系列支持政策。进一步完善基础设施配套，提升公共服务水平，努力营造良好营商环境，强化人才资源支撑，不断改善平台承接产业发展环境。</w:t>
      </w:r>
    </w:p>
    <w:p w14:paraId="6EA74A81">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w:t>
      </w:r>
      <w:r>
        <w:rPr>
          <w:rFonts w:ascii="仿宋_GB2312" w:hAnsi="仿宋_GB2312" w:eastAsia="仿宋_GB2312" w:cs="仿宋"/>
          <w:b/>
          <w:sz w:val="28"/>
          <w:szCs w:val="28"/>
          <w:highlight w:val="none"/>
        </w:rPr>
        <w:t>.项目主要内容</w:t>
      </w:r>
    </w:p>
    <w:p w14:paraId="73AF0146">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lang w:val="en-US" w:eastAsia="zh-CN"/>
        </w:rPr>
      </w:pPr>
      <w:bookmarkStart w:id="3" w:name="_Toc44343761"/>
      <w:r>
        <w:rPr>
          <w:rFonts w:hint="eastAsia" w:ascii="Times New Roman" w:hAnsi="Times New Roman" w:eastAsia="仿宋_GB2312" w:cs="Times New Roman"/>
          <w:kern w:val="2"/>
          <w:sz w:val="28"/>
          <w:szCs w:val="28"/>
          <w:highlight w:val="none"/>
          <w:lang w:val="en-US" w:eastAsia="zh-CN"/>
        </w:rPr>
        <w:t>根据县政府专题会议纪要【2019】61号文件，由县财政局安排预算资金</w:t>
      </w:r>
      <w:r>
        <w:rPr>
          <w:rFonts w:hint="eastAsia" w:eastAsia="仿宋_GB2312" w:cs="Times New Roman"/>
          <w:kern w:val="2"/>
          <w:sz w:val="28"/>
          <w:szCs w:val="28"/>
          <w:highlight w:val="none"/>
          <w:lang w:val="en-US" w:eastAsia="zh-CN"/>
        </w:rPr>
        <w:t>9000</w:t>
      </w:r>
      <w:r>
        <w:rPr>
          <w:rFonts w:hint="eastAsia" w:ascii="Times New Roman" w:hAnsi="Times New Roman" w:eastAsia="仿宋_GB2312" w:cs="Times New Roman"/>
          <w:kern w:val="2"/>
          <w:sz w:val="28"/>
          <w:szCs w:val="28"/>
          <w:highlight w:val="none"/>
          <w:lang w:val="en-US" w:eastAsia="zh-CN"/>
        </w:rPr>
        <w:t>万元，用于玉田县后湖产业园印机产业标准厂房基础配套设施。</w:t>
      </w:r>
    </w:p>
    <w:p w14:paraId="7CC902D4">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（二）项目资金情况</w:t>
      </w:r>
      <w:bookmarkEnd w:id="3"/>
    </w:p>
    <w:p w14:paraId="3E4E256A">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lang w:val="en-US" w:eastAsia="zh-CN"/>
        </w:rPr>
      </w:pPr>
      <w:r>
        <w:rPr>
          <w:rFonts w:hint="eastAsia" w:eastAsia="仿宋_GB2312" w:cs="Times New Roman"/>
          <w:kern w:val="2"/>
          <w:sz w:val="28"/>
          <w:szCs w:val="28"/>
          <w:highlight w:val="none"/>
          <w:lang w:val="en-US" w:eastAsia="zh-CN"/>
        </w:rPr>
        <w:t>2023年</w:t>
      </w:r>
      <w:r>
        <w:rPr>
          <w:rFonts w:hint="eastAsia" w:ascii="Times New Roman" w:hAnsi="Times New Roman" w:eastAsia="仿宋_GB2312" w:cs="Times New Roman"/>
          <w:kern w:val="2"/>
          <w:sz w:val="28"/>
          <w:szCs w:val="28"/>
          <w:highlight w:val="none"/>
          <w:lang w:val="en-US" w:eastAsia="zh-CN"/>
        </w:rPr>
        <w:t>申请资金项目投资金额</w:t>
      </w:r>
      <w:r>
        <w:rPr>
          <w:rFonts w:hint="eastAsia" w:eastAsia="仿宋_GB2312" w:cs="Times New Roman"/>
          <w:kern w:val="2"/>
          <w:sz w:val="28"/>
          <w:szCs w:val="28"/>
          <w:highlight w:val="none"/>
          <w:lang w:val="en-US" w:eastAsia="zh-CN"/>
        </w:rPr>
        <w:t>9000</w:t>
      </w:r>
      <w:r>
        <w:rPr>
          <w:rFonts w:hint="eastAsia" w:ascii="Times New Roman" w:hAnsi="Times New Roman" w:eastAsia="仿宋_GB2312" w:cs="Times New Roman"/>
          <w:kern w:val="2"/>
          <w:sz w:val="28"/>
          <w:szCs w:val="28"/>
          <w:highlight w:val="none"/>
          <w:lang w:val="en-US" w:eastAsia="zh-CN"/>
        </w:rPr>
        <w:t>万元，拨付金额</w:t>
      </w:r>
      <w:r>
        <w:rPr>
          <w:rFonts w:hint="eastAsia" w:eastAsia="仿宋_GB2312" w:cs="Times New Roman"/>
          <w:kern w:val="2"/>
          <w:sz w:val="28"/>
          <w:szCs w:val="28"/>
          <w:highlight w:val="none"/>
          <w:lang w:val="en-US" w:eastAsia="zh-CN"/>
        </w:rPr>
        <w:t>9000</w:t>
      </w:r>
      <w:r>
        <w:rPr>
          <w:rFonts w:hint="eastAsia" w:ascii="Times New Roman" w:hAnsi="Times New Roman" w:eastAsia="仿宋_GB2312" w:cs="Times New Roman"/>
          <w:kern w:val="2"/>
          <w:sz w:val="28"/>
          <w:szCs w:val="28"/>
          <w:highlight w:val="none"/>
          <w:lang w:val="en-US" w:eastAsia="zh-CN"/>
        </w:rPr>
        <w:t>万元。截至</w:t>
      </w:r>
      <w:r>
        <w:rPr>
          <w:rFonts w:hint="eastAsia" w:eastAsia="仿宋_GB2312" w:cs="Times New Roman"/>
          <w:kern w:val="2"/>
          <w:sz w:val="28"/>
          <w:szCs w:val="28"/>
          <w:highlight w:val="none"/>
          <w:lang w:val="en-US" w:eastAsia="zh-CN"/>
        </w:rPr>
        <w:t>2023年</w:t>
      </w:r>
      <w:r>
        <w:rPr>
          <w:rFonts w:hint="eastAsia" w:ascii="Times New Roman" w:hAnsi="Times New Roman" w:eastAsia="仿宋_GB2312" w:cs="Times New Roman"/>
          <w:kern w:val="2"/>
          <w:sz w:val="28"/>
          <w:szCs w:val="28"/>
          <w:highlight w:val="none"/>
          <w:lang w:val="en-US" w:eastAsia="zh-CN"/>
        </w:rPr>
        <w:t>12月31日，该项目共计支出资金</w:t>
      </w:r>
      <w:r>
        <w:rPr>
          <w:rFonts w:hint="eastAsia" w:eastAsia="仿宋_GB2312" w:cs="Times New Roman"/>
          <w:kern w:val="2"/>
          <w:sz w:val="28"/>
          <w:szCs w:val="28"/>
          <w:highlight w:val="none"/>
          <w:lang w:val="en-US" w:eastAsia="zh-CN"/>
        </w:rPr>
        <w:t>9000</w:t>
      </w:r>
      <w:r>
        <w:rPr>
          <w:rFonts w:hint="eastAsia" w:ascii="Times New Roman" w:hAnsi="Times New Roman" w:eastAsia="仿宋_GB2312" w:cs="Times New Roman"/>
          <w:kern w:val="2"/>
          <w:sz w:val="28"/>
          <w:szCs w:val="28"/>
          <w:highlight w:val="none"/>
          <w:lang w:val="en-US" w:eastAsia="zh-CN"/>
        </w:rPr>
        <w:t>万元，预算执行率100%。</w:t>
      </w:r>
    </w:p>
    <w:p w14:paraId="420AF8C8">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4" w:name="_Toc44343762"/>
      <w:r>
        <w:rPr>
          <w:rFonts w:hint="eastAsia" w:ascii="仿宋_GB2312" w:hAnsi="仿宋_GB2312" w:eastAsia="仿宋_GB2312" w:cs="仿宋"/>
          <w:b/>
          <w:sz w:val="28"/>
          <w:szCs w:val="28"/>
          <w:highlight w:val="none"/>
        </w:rPr>
        <w:t>（三）绩效目标</w:t>
      </w:r>
      <w:bookmarkEnd w:id="4"/>
    </w:p>
    <w:p w14:paraId="32382AF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cs="仿宋"/>
          <w:bCs/>
          <w:sz w:val="28"/>
          <w:szCs w:val="28"/>
          <w:highlight w:val="none"/>
        </w:rPr>
      </w:pPr>
      <w:r>
        <w:rPr>
          <w:rFonts w:hint="eastAsia" w:ascii="仿宋_GB2312" w:hAnsi="仿宋_GB2312" w:eastAsia="仿宋_GB2312" w:cs="仿宋"/>
          <w:bCs/>
          <w:sz w:val="28"/>
          <w:szCs w:val="28"/>
          <w:highlight w:val="none"/>
        </w:rPr>
        <w:t>按照</w:t>
      </w:r>
      <w:r>
        <w:rPr>
          <w:rFonts w:hint="eastAsia" w:ascii="仿宋_GB2312" w:hAnsi="仿宋_GB2312" w:eastAsia="仿宋_GB2312" w:cs="仿宋"/>
          <w:bCs/>
          <w:sz w:val="28"/>
          <w:szCs w:val="28"/>
          <w:highlight w:val="none"/>
          <w:lang w:eastAsia="zh-CN"/>
        </w:rPr>
        <w:t>玉田县</w:t>
      </w:r>
      <w:r>
        <w:rPr>
          <w:rFonts w:ascii="仿宋_GB2312" w:hAnsi="仿宋_GB2312" w:eastAsia="仿宋_GB2312" w:cs="仿宋"/>
          <w:bCs/>
          <w:sz w:val="28"/>
          <w:szCs w:val="28"/>
          <w:highlight w:val="none"/>
        </w:rPr>
        <w:t>绩效管理</w:t>
      </w:r>
      <w:r>
        <w:rPr>
          <w:rFonts w:hint="eastAsia" w:ascii="仿宋_GB2312" w:hAnsi="仿宋_GB2312" w:eastAsia="仿宋_GB2312" w:cs="仿宋"/>
          <w:bCs/>
          <w:sz w:val="28"/>
          <w:szCs w:val="28"/>
          <w:highlight w:val="none"/>
        </w:rPr>
        <w:t>要求，</w:t>
      </w:r>
      <w:r>
        <w:rPr>
          <w:rFonts w:hint="eastAsia" w:ascii="仿宋_GB2312" w:hAnsi="仿宋_GB2312" w:eastAsia="仿宋_GB2312" w:cs="仿宋"/>
          <w:bCs/>
          <w:sz w:val="28"/>
          <w:szCs w:val="28"/>
          <w:highlight w:val="none"/>
          <w:lang w:val="en-US" w:eastAsia="zh-CN"/>
        </w:rPr>
        <w:t>2023年玉田县农业农村局冀财债【2023】42号文2023年第七批政府债券玉田县农业人居环境综合整治项目</w:t>
      </w:r>
      <w:r>
        <w:rPr>
          <w:rFonts w:ascii="仿宋_GB2312" w:hAnsi="仿宋_GB2312" w:eastAsia="仿宋_GB2312" w:cs="仿宋"/>
          <w:bCs/>
          <w:sz w:val="28"/>
          <w:szCs w:val="28"/>
          <w:highlight w:val="none"/>
        </w:rPr>
        <w:t>按照要求进行了</w:t>
      </w:r>
      <w:r>
        <w:rPr>
          <w:rFonts w:hint="eastAsia" w:ascii="仿宋_GB2312" w:hAnsi="仿宋_GB2312" w:eastAsia="仿宋_GB2312" w:cs="仿宋"/>
          <w:bCs/>
          <w:sz w:val="28"/>
          <w:szCs w:val="28"/>
          <w:highlight w:val="none"/>
        </w:rPr>
        <w:t>预算项目绩效信息表填报。</w:t>
      </w:r>
    </w:p>
    <w:p w14:paraId="3FD3FD92">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w:t>
      </w:r>
      <w:r>
        <w:rPr>
          <w:rFonts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rPr>
        <w:t>项目年度绩效目标</w:t>
      </w:r>
    </w:p>
    <w:p w14:paraId="32A2026B">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1"/>
        <w:rPr>
          <w:rFonts w:hint="eastAsia" w:ascii="Times New Roman" w:hAnsi="Times New Roman" w:eastAsia="仿宋_GB2312" w:cs="Times New Roman"/>
          <w:kern w:val="2"/>
          <w:sz w:val="28"/>
          <w:szCs w:val="28"/>
          <w:highlight w:val="none"/>
          <w:lang w:val="en-US" w:eastAsia="zh-CN"/>
        </w:rPr>
      </w:pPr>
      <w:r>
        <w:rPr>
          <w:rFonts w:hint="eastAsia" w:ascii="Times New Roman" w:hAnsi="Times New Roman" w:eastAsia="仿宋_GB2312" w:cs="Times New Roman"/>
          <w:kern w:val="2"/>
          <w:sz w:val="28"/>
          <w:szCs w:val="28"/>
          <w:highlight w:val="none"/>
          <w:lang w:val="en-US" w:eastAsia="zh-CN"/>
        </w:rPr>
        <w:t>用于玉田县后湖产业园印机产业标准厂房基础配套设施。</w:t>
      </w:r>
    </w:p>
    <w:p w14:paraId="0A8733E7">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w:t>
      </w:r>
      <w:r>
        <w:rPr>
          <w:rFonts w:ascii="仿宋_GB2312" w:hAnsi="仿宋_GB2312" w:eastAsia="仿宋_GB2312" w:cs="仿宋"/>
          <w:b/>
          <w:sz w:val="28"/>
          <w:szCs w:val="28"/>
          <w:highlight w:val="none"/>
        </w:rPr>
        <w:t>.项目年度绩效指标</w:t>
      </w:r>
    </w:p>
    <w:p w14:paraId="6D31504D">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ascii="仿宋_GB2312" w:hAnsi="仿宋_GB2312" w:eastAsia="仿宋_GB2312" w:cs="仿宋"/>
          <w:sz w:val="28"/>
          <w:szCs w:val="28"/>
          <w:highlight w:val="none"/>
        </w:rPr>
      </w:pPr>
      <w:r>
        <w:rPr>
          <w:rFonts w:hint="eastAsia" w:ascii="仿宋_GB2312" w:hAnsi="仿宋_GB2312" w:eastAsia="仿宋_GB2312" w:cs="仿宋"/>
          <w:sz w:val="28"/>
          <w:szCs w:val="28"/>
          <w:highlight w:val="none"/>
        </w:rPr>
        <w:t>依据项目年度总体绩效目标，结合项目实际内容和特点，</w:t>
      </w:r>
      <w:r>
        <w:rPr>
          <w:rFonts w:hint="eastAsia" w:ascii="仿宋_GB2312" w:hAnsi="仿宋_GB2312" w:eastAsia="仿宋_GB2312" w:cs="仿宋"/>
          <w:sz w:val="28"/>
          <w:szCs w:val="28"/>
          <w:highlight w:val="none"/>
          <w:lang w:eastAsia="zh-CN"/>
        </w:rPr>
        <w:t>冀财债【2023】42号文2023年第七批政府债券玉田县农业人居环境综合整治项目</w:t>
      </w:r>
      <w:r>
        <w:rPr>
          <w:rFonts w:hint="eastAsia" w:ascii="仿宋_GB2312" w:hAnsi="仿宋_GB2312" w:eastAsia="仿宋_GB2312" w:cs="仿宋"/>
          <w:sz w:val="28"/>
          <w:szCs w:val="28"/>
          <w:highlight w:val="none"/>
        </w:rPr>
        <w:t>设置了具体的绩效指标，包括产出指标和效益指标，具体如下：</w:t>
      </w:r>
    </w:p>
    <w:p w14:paraId="067EAEBA">
      <w:pPr>
        <w:pStyle w:val="2"/>
        <w:keepNext w:val="0"/>
        <w:keepLines w:val="0"/>
        <w:pageBreakBefore w:val="0"/>
        <w:kinsoku/>
        <w:wordWrap/>
        <w:overflowPunct/>
        <w:topLinePunct w:val="0"/>
        <w:autoSpaceDE/>
        <w:autoSpaceDN/>
        <w:bidi w:val="0"/>
        <w:adjustRightInd/>
        <w:snapToGrid/>
        <w:jc w:val="center"/>
        <w:textAlignment w:val="auto"/>
        <w:rPr>
          <w:rFonts w:ascii="宋体" w:hAnsi="宋体" w:eastAsia="宋体" w:cs="Times New Roman"/>
          <w:b/>
          <w:highlight w:val="none"/>
        </w:rPr>
      </w:pPr>
      <w:r>
        <w:rPr>
          <w:rFonts w:ascii="宋体" w:hAnsi="宋体" w:eastAsia="宋体" w:cs="Times New Roman"/>
          <w:b/>
          <w:sz w:val="24"/>
          <w:szCs w:val="24"/>
          <w:highlight w:val="none"/>
        </w:rPr>
        <w:t xml:space="preserve">表 </w:t>
      </w:r>
      <w:r>
        <w:rPr>
          <w:rFonts w:hint="eastAsia" w:ascii="宋体" w:hAnsi="宋体" w:eastAsia="宋体" w:cs="Times New Roman"/>
          <w:b/>
          <w:sz w:val="24"/>
          <w:szCs w:val="24"/>
          <w:highlight w:val="none"/>
          <w:lang w:val="en-US" w:eastAsia="zh-CN"/>
        </w:rPr>
        <w:t>1</w:t>
      </w:r>
      <w:r>
        <w:rPr>
          <w:rFonts w:ascii="宋体" w:hAnsi="宋体" w:eastAsia="宋体" w:cs="Times New Roman"/>
          <w:b/>
          <w:sz w:val="24"/>
          <w:szCs w:val="24"/>
          <w:highlight w:val="none"/>
        </w:rPr>
        <w:t xml:space="preserve">  </w:t>
      </w:r>
      <w:r>
        <w:rPr>
          <w:rFonts w:hint="eastAsia" w:ascii="宋体" w:hAnsi="宋体" w:eastAsia="宋体" w:cs="Times New Roman"/>
          <w:b/>
          <w:sz w:val="24"/>
          <w:szCs w:val="24"/>
          <w:highlight w:val="none"/>
          <w:lang w:eastAsia="zh-CN"/>
        </w:rPr>
        <w:t>2023年玉田县农业农村局冀财债【2023】42号文2023年第七批政府债券玉田县农业人居环境综合整治项目</w:t>
      </w:r>
      <w:r>
        <w:rPr>
          <w:rFonts w:ascii="宋体" w:hAnsi="宋体" w:eastAsia="宋体" w:cs="Times New Roman"/>
          <w:b/>
          <w:sz w:val="24"/>
          <w:szCs w:val="24"/>
          <w:highlight w:val="none"/>
        </w:rPr>
        <w:t>绩效指标</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129F8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4928C8D5">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vAlign w:val="center"/>
          </w:tcPr>
          <w:p w14:paraId="2C741557">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vAlign w:val="center"/>
          </w:tcPr>
          <w:p w14:paraId="28DCFE27">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vAlign w:val="center"/>
          </w:tcPr>
          <w:p w14:paraId="0ECD1C37">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vAlign w:val="center"/>
          </w:tcPr>
          <w:p w14:paraId="4E5C8416">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vAlign w:val="center"/>
          </w:tcPr>
          <w:p w14:paraId="1CBF1813">
            <w:pPr>
              <w:spacing w:line="300" w:lineRule="exact"/>
              <w:jc w:val="center"/>
              <w:rPr>
                <w:rFonts w:ascii="方正书宋_GBK" w:eastAsia="方正书宋_GBK"/>
                <w:b/>
              </w:rPr>
            </w:pPr>
            <w:r>
              <w:rPr>
                <w:rFonts w:hint="eastAsia" w:ascii="方正书宋_GBK" w:eastAsia="方正书宋_GBK"/>
                <w:b/>
              </w:rPr>
              <w:t>指标值确定依据</w:t>
            </w:r>
          </w:p>
        </w:tc>
      </w:tr>
      <w:tr w14:paraId="16D3EF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26EA5B3A">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vAlign w:val="center"/>
          </w:tcPr>
          <w:p w14:paraId="33073766">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vAlign w:val="center"/>
          </w:tcPr>
          <w:p w14:paraId="40184B58">
            <w:pPr>
              <w:spacing w:line="300" w:lineRule="exact"/>
              <w:jc w:val="left"/>
              <w:rPr>
                <w:rFonts w:ascii="方正书宋_GBK" w:eastAsia="方正书宋_GBK"/>
              </w:rPr>
            </w:pPr>
            <w:r>
              <w:rPr>
                <w:rFonts w:hint="eastAsia" w:ascii="宋体" w:hAnsi="宋体" w:cs="宋体"/>
                <w:color w:val="000000"/>
                <w:kern w:val="0"/>
                <w:sz w:val="16"/>
                <w:szCs w:val="16"/>
              </w:rPr>
              <w:t>项目资金支付率</w:t>
            </w:r>
          </w:p>
        </w:tc>
        <w:tc>
          <w:tcPr>
            <w:tcW w:w="2891" w:type="dxa"/>
            <w:shd w:val="clear" w:color="auto" w:fill="auto"/>
            <w:vAlign w:val="center"/>
          </w:tcPr>
          <w:p w14:paraId="7A046C98">
            <w:pPr>
              <w:spacing w:line="300" w:lineRule="exact"/>
              <w:jc w:val="left"/>
              <w:rPr>
                <w:rFonts w:ascii="方正书宋_GBK" w:eastAsia="方正书宋_GBK"/>
              </w:rPr>
            </w:pPr>
            <w:r>
              <w:rPr>
                <w:rFonts w:hint="eastAsia" w:ascii="宋体" w:hAnsi="宋体" w:cs="宋体"/>
                <w:color w:val="000000"/>
                <w:kern w:val="0"/>
                <w:sz w:val="16"/>
                <w:szCs w:val="16"/>
              </w:rPr>
              <w:t>项目资金支付率</w:t>
            </w:r>
          </w:p>
        </w:tc>
        <w:tc>
          <w:tcPr>
            <w:tcW w:w="1276" w:type="dxa"/>
            <w:shd w:val="clear" w:color="auto" w:fill="auto"/>
            <w:vAlign w:val="center"/>
          </w:tcPr>
          <w:p w14:paraId="6DA2CB2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52C9EE25">
            <w:pPr>
              <w:spacing w:line="300" w:lineRule="exact"/>
              <w:jc w:val="left"/>
              <w:rPr>
                <w:rFonts w:hint="eastAsia" w:ascii="方正书宋_GBK" w:eastAsia="方正书宋_GBK"/>
                <w:lang w:eastAsia="zh-CN"/>
              </w:rPr>
            </w:pPr>
            <w:r>
              <w:rPr>
                <w:rFonts w:hint="eastAsia" w:ascii="方正书宋_GBK" w:eastAsia="方正书宋_GBK"/>
                <w:lang w:eastAsia="zh-CN"/>
              </w:rPr>
              <w:t>相关政策要求</w:t>
            </w:r>
          </w:p>
        </w:tc>
      </w:tr>
      <w:tr w14:paraId="13141D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3E21044F">
            <w:pPr>
              <w:spacing w:line="300" w:lineRule="exact"/>
              <w:jc w:val="center"/>
              <w:rPr>
                <w:rFonts w:ascii="方正书宋_GBK" w:eastAsia="方正书宋_GBK"/>
              </w:rPr>
            </w:pPr>
          </w:p>
        </w:tc>
        <w:tc>
          <w:tcPr>
            <w:tcW w:w="1134" w:type="dxa"/>
            <w:shd w:val="clear" w:color="auto" w:fill="auto"/>
            <w:vAlign w:val="center"/>
          </w:tcPr>
          <w:p w14:paraId="229DE3FA">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vAlign w:val="center"/>
          </w:tcPr>
          <w:p w14:paraId="1188B567">
            <w:pPr>
              <w:spacing w:line="300" w:lineRule="exact"/>
              <w:jc w:val="left"/>
              <w:rPr>
                <w:rFonts w:ascii="方正书宋_GBK" w:eastAsia="方正书宋_GBK"/>
              </w:rPr>
            </w:pPr>
            <w:r>
              <w:rPr>
                <w:rFonts w:hint="eastAsia" w:ascii="Arial Unicode MS" w:hAnsi="Arial Unicode MS" w:eastAsia="Arial Unicode MS" w:cs="Arial Unicode MS"/>
                <w:color w:val="000000"/>
                <w:kern w:val="0"/>
                <w:sz w:val="16"/>
                <w:szCs w:val="16"/>
              </w:rPr>
              <w:t>项目资金支付完成时间</w:t>
            </w:r>
          </w:p>
        </w:tc>
        <w:tc>
          <w:tcPr>
            <w:tcW w:w="2891" w:type="dxa"/>
            <w:shd w:val="clear" w:color="auto" w:fill="auto"/>
            <w:vAlign w:val="center"/>
          </w:tcPr>
          <w:p w14:paraId="2BEDA167">
            <w:pPr>
              <w:spacing w:line="300" w:lineRule="exact"/>
              <w:jc w:val="left"/>
              <w:rPr>
                <w:rFonts w:ascii="方正书宋_GBK" w:eastAsia="方正书宋_GBK"/>
              </w:rPr>
            </w:pPr>
            <w:r>
              <w:rPr>
                <w:rFonts w:hint="eastAsia" w:ascii="Arial Unicode MS" w:hAnsi="Arial Unicode MS" w:eastAsia="Arial Unicode MS" w:cs="Arial Unicode MS"/>
                <w:color w:val="000000"/>
                <w:kern w:val="0"/>
                <w:sz w:val="16"/>
                <w:szCs w:val="16"/>
              </w:rPr>
              <w:t>项目资金支付完成时间</w:t>
            </w:r>
          </w:p>
        </w:tc>
        <w:tc>
          <w:tcPr>
            <w:tcW w:w="1276" w:type="dxa"/>
            <w:shd w:val="clear" w:color="auto" w:fill="auto"/>
            <w:vAlign w:val="center"/>
          </w:tcPr>
          <w:p w14:paraId="5C11E670">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6FFA7FF5">
            <w:pPr>
              <w:spacing w:line="300" w:lineRule="exact"/>
              <w:jc w:val="left"/>
              <w:rPr>
                <w:rFonts w:ascii="方正书宋_GBK" w:eastAsia="方正书宋_GBK"/>
              </w:rPr>
            </w:pPr>
            <w:r>
              <w:rPr>
                <w:rFonts w:hint="eastAsia" w:ascii="方正书宋_GBK" w:eastAsia="方正书宋_GBK"/>
                <w:lang w:eastAsia="zh-CN"/>
              </w:rPr>
              <w:t>相关政策要求</w:t>
            </w:r>
          </w:p>
        </w:tc>
      </w:tr>
      <w:tr w14:paraId="2A6E4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4FE0D1B6">
            <w:pPr>
              <w:spacing w:line="300" w:lineRule="exact"/>
              <w:jc w:val="center"/>
              <w:rPr>
                <w:rFonts w:ascii="方正书宋_GBK" w:eastAsia="方正书宋_GBK"/>
              </w:rPr>
            </w:pPr>
          </w:p>
        </w:tc>
        <w:tc>
          <w:tcPr>
            <w:tcW w:w="1134" w:type="dxa"/>
            <w:shd w:val="clear" w:color="auto" w:fill="auto"/>
            <w:vAlign w:val="center"/>
          </w:tcPr>
          <w:p w14:paraId="57038227">
            <w:pPr>
              <w:spacing w:line="300" w:lineRule="exact"/>
              <w:jc w:val="left"/>
              <w:rPr>
                <w:rFonts w:ascii="方正书宋_GBK" w:eastAsia="方正书宋_GBK"/>
              </w:rPr>
            </w:pPr>
            <w:r>
              <w:rPr>
                <w:rFonts w:hint="eastAsia" w:ascii="方正书宋_GBK" w:eastAsia="方正书宋_GBK"/>
              </w:rPr>
              <w:t>成本指标</w:t>
            </w:r>
          </w:p>
        </w:tc>
        <w:tc>
          <w:tcPr>
            <w:tcW w:w="1276" w:type="dxa"/>
            <w:shd w:val="clear" w:color="auto" w:fill="auto"/>
            <w:vAlign w:val="center"/>
          </w:tcPr>
          <w:p w14:paraId="615D7B38">
            <w:pPr>
              <w:spacing w:line="300" w:lineRule="exact"/>
              <w:jc w:val="left"/>
              <w:rPr>
                <w:rFonts w:ascii="方正书宋_GBK" w:eastAsia="方正书宋_GBK"/>
              </w:rPr>
            </w:pPr>
            <w:r>
              <w:rPr>
                <w:rFonts w:hint="eastAsia" w:ascii="Arial Unicode MS" w:hAnsi="Arial Unicode MS" w:eastAsia="Arial Unicode MS" w:cs="Arial Unicode MS"/>
                <w:color w:val="000000"/>
                <w:kern w:val="0"/>
                <w:sz w:val="16"/>
                <w:szCs w:val="16"/>
              </w:rPr>
              <w:t>项目金额</w:t>
            </w:r>
          </w:p>
        </w:tc>
        <w:tc>
          <w:tcPr>
            <w:tcW w:w="2891" w:type="dxa"/>
            <w:shd w:val="clear" w:color="auto" w:fill="auto"/>
            <w:vAlign w:val="center"/>
          </w:tcPr>
          <w:p w14:paraId="5153E4AB">
            <w:pPr>
              <w:spacing w:line="300" w:lineRule="exact"/>
              <w:jc w:val="left"/>
              <w:rPr>
                <w:rFonts w:ascii="方正书宋_GBK" w:eastAsia="方正书宋_GBK"/>
              </w:rPr>
            </w:pPr>
            <w:r>
              <w:rPr>
                <w:rFonts w:hint="eastAsia" w:ascii="Arial Unicode MS" w:hAnsi="Arial Unicode MS" w:eastAsia="Arial Unicode MS" w:cs="Arial Unicode MS"/>
                <w:color w:val="000000"/>
                <w:kern w:val="0"/>
                <w:sz w:val="16"/>
                <w:szCs w:val="16"/>
              </w:rPr>
              <w:t>项目金额</w:t>
            </w:r>
          </w:p>
        </w:tc>
        <w:tc>
          <w:tcPr>
            <w:tcW w:w="1276" w:type="dxa"/>
            <w:shd w:val="clear" w:color="auto" w:fill="auto"/>
            <w:vAlign w:val="center"/>
          </w:tcPr>
          <w:p w14:paraId="7FE86326">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5E603A8E">
            <w:pPr>
              <w:spacing w:line="300" w:lineRule="exact"/>
              <w:jc w:val="left"/>
              <w:rPr>
                <w:rFonts w:ascii="方正书宋_GBK" w:eastAsia="方正书宋_GBK"/>
              </w:rPr>
            </w:pPr>
            <w:r>
              <w:rPr>
                <w:rFonts w:hint="eastAsia" w:ascii="方正书宋_GBK" w:eastAsia="方正书宋_GBK"/>
                <w:lang w:eastAsia="zh-CN"/>
              </w:rPr>
              <w:t>相关政策要求</w:t>
            </w:r>
          </w:p>
        </w:tc>
      </w:tr>
      <w:tr w14:paraId="4D5B3B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32F10F76">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shd w:val="clear" w:color="auto" w:fill="auto"/>
            <w:vAlign w:val="center"/>
          </w:tcPr>
          <w:p w14:paraId="4D8A4A22">
            <w:pPr>
              <w:spacing w:line="300" w:lineRule="exact"/>
              <w:jc w:val="left"/>
              <w:rPr>
                <w:rFonts w:hint="eastAsia" w:ascii="方正书宋_GBK" w:eastAsia="方正书宋_GBK"/>
              </w:rPr>
            </w:pPr>
            <w:r>
              <w:rPr>
                <w:rFonts w:hint="eastAsia" w:ascii="方正书宋_GBK" w:eastAsia="方正书宋_GBK"/>
              </w:rPr>
              <w:t>经济效益指标</w:t>
            </w:r>
          </w:p>
        </w:tc>
        <w:tc>
          <w:tcPr>
            <w:tcW w:w="1276" w:type="dxa"/>
            <w:shd w:val="clear" w:color="auto" w:fill="auto"/>
            <w:vAlign w:val="center"/>
          </w:tcPr>
          <w:p w14:paraId="76E8AB1C">
            <w:pPr>
              <w:spacing w:line="300" w:lineRule="exact"/>
              <w:jc w:val="left"/>
              <w:rPr>
                <w:rFonts w:hint="eastAsia" w:ascii="方正书宋_GBK" w:eastAsia="方正书宋_GBK"/>
                <w:lang w:eastAsia="zh-CN"/>
              </w:rPr>
            </w:pPr>
            <w:r>
              <w:rPr>
                <w:rFonts w:hint="eastAsia" w:ascii="方正书宋_GBK" w:eastAsia="方正书宋_GBK"/>
                <w:lang w:eastAsia="zh-CN"/>
              </w:rPr>
              <w:t>促进社会经济发展</w:t>
            </w:r>
          </w:p>
        </w:tc>
        <w:tc>
          <w:tcPr>
            <w:tcW w:w="2891" w:type="dxa"/>
            <w:shd w:val="clear" w:color="auto" w:fill="auto"/>
            <w:vAlign w:val="center"/>
          </w:tcPr>
          <w:p w14:paraId="49FDE8D3">
            <w:pPr>
              <w:spacing w:line="300" w:lineRule="exact"/>
              <w:jc w:val="left"/>
              <w:rPr>
                <w:rFonts w:ascii="方正书宋_GBK" w:eastAsia="方正书宋_GBK"/>
              </w:rPr>
            </w:pPr>
            <w:r>
              <w:rPr>
                <w:rFonts w:hint="eastAsia" w:ascii="方正书宋_GBK" w:eastAsia="方正书宋_GBK"/>
                <w:lang w:eastAsia="zh-CN"/>
              </w:rPr>
              <w:t>促进社会经济发展</w:t>
            </w:r>
          </w:p>
        </w:tc>
        <w:tc>
          <w:tcPr>
            <w:tcW w:w="1276" w:type="dxa"/>
            <w:shd w:val="clear" w:color="auto" w:fill="auto"/>
            <w:vAlign w:val="center"/>
          </w:tcPr>
          <w:p w14:paraId="7936E2C8">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5567D745">
            <w:pPr>
              <w:spacing w:line="300" w:lineRule="exact"/>
              <w:jc w:val="left"/>
              <w:rPr>
                <w:rFonts w:hint="eastAsia" w:ascii="方正书宋_GBK" w:eastAsia="方正书宋_GBK"/>
              </w:rPr>
            </w:pPr>
            <w:r>
              <w:rPr>
                <w:rFonts w:hint="eastAsia" w:ascii="方正书宋_GBK" w:eastAsia="方正书宋_GBK"/>
                <w:lang w:eastAsia="zh-CN"/>
              </w:rPr>
              <w:t>相关政策要求</w:t>
            </w:r>
          </w:p>
        </w:tc>
      </w:tr>
      <w:tr w14:paraId="55081B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40D1929">
            <w:pPr>
              <w:spacing w:line="300" w:lineRule="exact"/>
              <w:jc w:val="center"/>
              <w:rPr>
                <w:rFonts w:ascii="方正书宋_GBK" w:eastAsia="方正书宋_GBK"/>
              </w:rPr>
            </w:pPr>
          </w:p>
        </w:tc>
        <w:tc>
          <w:tcPr>
            <w:tcW w:w="1134" w:type="dxa"/>
            <w:shd w:val="clear" w:color="auto" w:fill="auto"/>
            <w:vAlign w:val="center"/>
          </w:tcPr>
          <w:p w14:paraId="77F07221">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vAlign w:val="center"/>
          </w:tcPr>
          <w:p w14:paraId="75F8C564">
            <w:pPr>
              <w:spacing w:line="300" w:lineRule="exact"/>
              <w:jc w:val="left"/>
              <w:rPr>
                <w:rFonts w:hint="eastAsia" w:ascii="方正书宋_GBK" w:eastAsia="方正书宋_GBK"/>
                <w:lang w:eastAsia="zh-CN"/>
              </w:rPr>
            </w:pPr>
            <w:r>
              <w:rPr>
                <w:rFonts w:hint="eastAsia" w:ascii="Arial Unicode MS" w:hAnsi="Arial Unicode MS" w:eastAsia="Arial Unicode MS" w:cs="Arial Unicode MS"/>
                <w:color w:val="000000"/>
                <w:kern w:val="0"/>
                <w:sz w:val="16"/>
                <w:szCs w:val="16"/>
                <w:lang w:eastAsia="zh-CN"/>
              </w:rPr>
              <w:t>促进社会稳定</w:t>
            </w:r>
          </w:p>
        </w:tc>
        <w:tc>
          <w:tcPr>
            <w:tcW w:w="2891" w:type="dxa"/>
            <w:shd w:val="clear" w:color="auto" w:fill="auto"/>
            <w:vAlign w:val="center"/>
          </w:tcPr>
          <w:p w14:paraId="34E60E6F">
            <w:pPr>
              <w:spacing w:line="300" w:lineRule="exact"/>
              <w:jc w:val="left"/>
              <w:rPr>
                <w:rFonts w:ascii="方正书宋_GBK" w:eastAsia="方正书宋_GBK"/>
              </w:rPr>
            </w:pPr>
            <w:r>
              <w:rPr>
                <w:rFonts w:hint="eastAsia" w:ascii="Arial Unicode MS" w:hAnsi="Arial Unicode MS" w:eastAsia="Arial Unicode MS" w:cs="Arial Unicode MS"/>
                <w:color w:val="000000"/>
                <w:kern w:val="0"/>
                <w:sz w:val="16"/>
                <w:szCs w:val="16"/>
                <w:lang w:eastAsia="zh-CN"/>
              </w:rPr>
              <w:t>促进社会稳定</w:t>
            </w:r>
          </w:p>
        </w:tc>
        <w:tc>
          <w:tcPr>
            <w:tcW w:w="1276" w:type="dxa"/>
            <w:shd w:val="clear" w:color="auto" w:fill="auto"/>
            <w:vAlign w:val="center"/>
          </w:tcPr>
          <w:p w14:paraId="0133E0D3">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20AF6DC5">
            <w:pPr>
              <w:spacing w:line="300" w:lineRule="exact"/>
              <w:jc w:val="left"/>
              <w:rPr>
                <w:rFonts w:ascii="方正书宋_GBK" w:eastAsia="方正书宋_GBK"/>
              </w:rPr>
            </w:pPr>
            <w:r>
              <w:rPr>
                <w:rFonts w:hint="eastAsia" w:ascii="方正书宋_GBK" w:eastAsia="方正书宋_GBK"/>
                <w:lang w:eastAsia="zh-CN"/>
              </w:rPr>
              <w:t>相关政策要求</w:t>
            </w:r>
          </w:p>
        </w:tc>
      </w:tr>
      <w:tr w14:paraId="298F23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BB015E4">
            <w:pPr>
              <w:spacing w:line="300" w:lineRule="exact"/>
              <w:jc w:val="center"/>
              <w:rPr>
                <w:rFonts w:ascii="方正书宋_GBK" w:eastAsia="方正书宋_GBK"/>
              </w:rPr>
            </w:pPr>
          </w:p>
        </w:tc>
        <w:tc>
          <w:tcPr>
            <w:tcW w:w="1134" w:type="dxa"/>
            <w:shd w:val="clear" w:color="auto" w:fill="auto"/>
            <w:vAlign w:val="center"/>
          </w:tcPr>
          <w:p w14:paraId="55D8BABB">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vAlign w:val="center"/>
          </w:tcPr>
          <w:p w14:paraId="5F22A3A0">
            <w:pPr>
              <w:spacing w:line="300" w:lineRule="exact"/>
              <w:jc w:val="left"/>
              <w:rPr>
                <w:rFonts w:hint="eastAsia" w:ascii="方正书宋_GBK" w:eastAsia="方正书宋_GBK"/>
                <w:lang w:eastAsia="zh-CN"/>
              </w:rPr>
            </w:pPr>
            <w:r>
              <w:rPr>
                <w:rFonts w:hint="eastAsia" w:ascii="方正书宋_GBK" w:eastAsia="方正书宋_GBK"/>
                <w:lang w:eastAsia="zh-CN"/>
              </w:rPr>
              <w:t>偿还债务</w:t>
            </w:r>
          </w:p>
        </w:tc>
        <w:tc>
          <w:tcPr>
            <w:tcW w:w="2891" w:type="dxa"/>
            <w:shd w:val="clear" w:color="auto" w:fill="auto"/>
            <w:vAlign w:val="center"/>
          </w:tcPr>
          <w:p w14:paraId="6E18309D">
            <w:pPr>
              <w:spacing w:line="300" w:lineRule="exact"/>
              <w:jc w:val="left"/>
              <w:rPr>
                <w:rFonts w:ascii="方正书宋_GBK" w:eastAsia="方正书宋_GBK"/>
              </w:rPr>
            </w:pPr>
            <w:r>
              <w:rPr>
                <w:rFonts w:hint="eastAsia" w:ascii="方正书宋_GBK" w:eastAsia="方正书宋_GBK"/>
                <w:lang w:eastAsia="zh-CN"/>
              </w:rPr>
              <w:t>偿还债务</w:t>
            </w:r>
          </w:p>
        </w:tc>
        <w:tc>
          <w:tcPr>
            <w:tcW w:w="1276" w:type="dxa"/>
            <w:shd w:val="clear" w:color="auto" w:fill="auto"/>
            <w:vAlign w:val="center"/>
          </w:tcPr>
          <w:p w14:paraId="012FB952">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06F4E3F7">
            <w:pPr>
              <w:spacing w:line="300" w:lineRule="exact"/>
              <w:jc w:val="left"/>
              <w:rPr>
                <w:rFonts w:ascii="方正书宋_GBK" w:eastAsia="方正书宋_GBK"/>
              </w:rPr>
            </w:pPr>
            <w:r>
              <w:rPr>
                <w:rFonts w:hint="eastAsia" w:ascii="方正书宋_GBK" w:eastAsia="方正书宋_GBK"/>
                <w:lang w:eastAsia="zh-CN"/>
              </w:rPr>
              <w:t>相关政策要求</w:t>
            </w:r>
          </w:p>
        </w:tc>
      </w:tr>
      <w:tr w14:paraId="1679E6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CA5A38F">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shd w:val="clear" w:color="auto" w:fill="auto"/>
            <w:vAlign w:val="center"/>
          </w:tcPr>
          <w:p w14:paraId="6CEB8BA7">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shd w:val="clear" w:color="auto" w:fill="auto"/>
            <w:vAlign w:val="center"/>
          </w:tcPr>
          <w:p w14:paraId="7CDBC86F">
            <w:pPr>
              <w:spacing w:line="300" w:lineRule="exact"/>
              <w:jc w:val="left"/>
              <w:rPr>
                <w:rFonts w:hint="eastAsia" w:ascii="方正书宋_GBK" w:eastAsia="方正书宋_GBK"/>
              </w:rPr>
            </w:pPr>
            <w:r>
              <w:rPr>
                <w:rFonts w:hint="eastAsia" w:ascii="方正书宋_GBK" w:eastAsia="方正书宋_GBK"/>
              </w:rPr>
              <w:t>本单位职工满意度</w:t>
            </w:r>
          </w:p>
        </w:tc>
        <w:tc>
          <w:tcPr>
            <w:tcW w:w="2891" w:type="dxa"/>
            <w:shd w:val="clear" w:color="auto" w:fill="auto"/>
            <w:vAlign w:val="center"/>
          </w:tcPr>
          <w:p w14:paraId="1460C9B9">
            <w:pPr>
              <w:spacing w:line="300" w:lineRule="exact"/>
              <w:jc w:val="left"/>
              <w:rPr>
                <w:rFonts w:ascii="方正书宋_GBK" w:eastAsia="方正书宋_GBK"/>
              </w:rPr>
            </w:pPr>
            <w:r>
              <w:rPr>
                <w:rFonts w:hint="eastAsia" w:ascii="方正书宋_GBK" w:eastAsia="方正书宋_GBK"/>
              </w:rPr>
              <w:t>本单位职工满意度</w:t>
            </w:r>
          </w:p>
        </w:tc>
        <w:tc>
          <w:tcPr>
            <w:tcW w:w="1276" w:type="dxa"/>
            <w:shd w:val="clear" w:color="auto" w:fill="auto"/>
            <w:vAlign w:val="center"/>
          </w:tcPr>
          <w:p w14:paraId="2BC8C293">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95</w:t>
            </w:r>
            <w:r>
              <w:rPr>
                <w:rFonts w:hint="eastAsia" w:ascii="方正书宋_GBK" w:eastAsia="方正书宋_GBK"/>
              </w:rPr>
              <w:t>优</w:t>
            </w:r>
          </w:p>
        </w:tc>
        <w:tc>
          <w:tcPr>
            <w:tcW w:w="1701" w:type="dxa"/>
            <w:shd w:val="clear" w:color="auto" w:fill="auto"/>
            <w:vAlign w:val="center"/>
          </w:tcPr>
          <w:p w14:paraId="10D38ADD">
            <w:pPr>
              <w:spacing w:line="300" w:lineRule="exact"/>
              <w:jc w:val="left"/>
              <w:rPr>
                <w:rFonts w:hint="eastAsia" w:ascii="方正书宋_GBK" w:eastAsia="方正书宋_GBK"/>
                <w:lang w:eastAsia="zh-CN"/>
              </w:rPr>
            </w:pPr>
            <w:r>
              <w:rPr>
                <w:rFonts w:hint="eastAsia" w:ascii="方正书宋_GBK" w:eastAsia="方正书宋_GBK"/>
                <w:lang w:eastAsia="zh-CN"/>
              </w:rPr>
              <w:t>相关政策要求</w:t>
            </w:r>
          </w:p>
        </w:tc>
      </w:tr>
    </w:tbl>
    <w:p w14:paraId="0EBAA903">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kern w:val="0"/>
          <w:sz w:val="28"/>
          <w:szCs w:val="28"/>
          <w:highlight w:val="none"/>
        </w:rPr>
      </w:pPr>
      <w:bookmarkStart w:id="5" w:name="_Toc44343763"/>
    </w:p>
    <w:p w14:paraId="3E83E0F4">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eastAsia="仿宋_GB2312"/>
          <w:b/>
          <w:kern w:val="0"/>
          <w:sz w:val="28"/>
          <w:szCs w:val="28"/>
          <w:highlight w:val="none"/>
        </w:rPr>
      </w:pPr>
      <w:r>
        <w:rPr>
          <w:rFonts w:hint="eastAsia" w:ascii="仿宋_GB2312" w:eastAsia="仿宋_GB2312"/>
          <w:b/>
          <w:kern w:val="0"/>
          <w:sz w:val="28"/>
          <w:szCs w:val="28"/>
          <w:highlight w:val="none"/>
        </w:rPr>
        <w:t>二、评价工作简述</w:t>
      </w:r>
      <w:bookmarkEnd w:id="5"/>
    </w:p>
    <w:p w14:paraId="2208B652">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6" w:name="_Toc44343764"/>
      <w:r>
        <w:rPr>
          <w:rFonts w:hint="eastAsia" w:ascii="仿宋_GB2312" w:hAnsi="仿宋_GB2312" w:eastAsia="仿宋_GB2312" w:cs="仿宋"/>
          <w:b/>
          <w:sz w:val="28"/>
          <w:szCs w:val="28"/>
          <w:highlight w:val="none"/>
        </w:rPr>
        <w:t>（一）基本情况</w:t>
      </w:r>
      <w:bookmarkEnd w:id="6"/>
    </w:p>
    <w:p w14:paraId="63B41A00">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1.评价目的。</w:t>
      </w:r>
      <w:r>
        <w:rPr>
          <w:rFonts w:hint="eastAsia" w:ascii="仿宋_GB2312" w:eastAsia="仿宋_GB2312"/>
          <w:sz w:val="28"/>
          <w:szCs w:val="32"/>
          <w:highlight w:val="none"/>
        </w:rPr>
        <w:t>通过绩效评价，总结经验，发现问题，改进工作，进一步加强预算绩效管理，强化支出责任，提高财政资金的使用效益。</w:t>
      </w:r>
    </w:p>
    <w:p w14:paraId="3B586E1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2.评价原则。</w:t>
      </w:r>
      <w:r>
        <w:rPr>
          <w:rFonts w:hint="eastAsia" w:ascii="仿宋_GB2312" w:eastAsia="仿宋_GB2312"/>
          <w:sz w:val="28"/>
          <w:szCs w:val="32"/>
          <w:highlight w:val="none"/>
        </w:rPr>
        <w:t>按照科学规范、绩效相关、政策相符、依据充分、独立评价等原则，根据</w:t>
      </w:r>
      <w:r>
        <w:rPr>
          <w:rFonts w:hint="eastAsia" w:ascii="仿宋_GB2312" w:eastAsia="仿宋_GB2312"/>
          <w:bCs/>
          <w:sz w:val="28"/>
          <w:szCs w:val="28"/>
          <w:highlight w:val="none"/>
        </w:rPr>
        <w:t>《财政部关于印发&lt;项目支出绩效评价管理办法&gt;的通知》（财预〔2020〕10号）、</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玉田县</w:t>
      </w:r>
      <w:r>
        <w:rPr>
          <w:rFonts w:hint="eastAsia" w:ascii="仿宋_GB2312" w:eastAsia="仿宋_GB2312"/>
          <w:sz w:val="28"/>
          <w:szCs w:val="28"/>
          <w:highlight w:val="none"/>
          <w:lang w:val="en-US" w:eastAsia="zh-CN"/>
        </w:rPr>
        <w:t>财政局</w:t>
      </w:r>
      <w:r>
        <w:rPr>
          <w:rFonts w:hint="eastAsia" w:ascii="仿宋_GB2312" w:eastAsia="仿宋_GB2312"/>
          <w:sz w:val="28"/>
          <w:szCs w:val="28"/>
          <w:highlight w:val="none"/>
        </w:rPr>
        <w:t>关于印发&lt;预算绩效重点评价管理办法&gt;的通知》（</w:t>
      </w:r>
      <w:r>
        <w:rPr>
          <w:rFonts w:hint="eastAsia" w:ascii="仿宋_GB2312" w:eastAsia="仿宋_GB2312"/>
          <w:sz w:val="28"/>
          <w:szCs w:val="28"/>
          <w:highlight w:val="none"/>
          <w:lang w:eastAsia="zh-CN"/>
        </w:rPr>
        <w:t>玉财预</w:t>
      </w:r>
      <w:r>
        <w:rPr>
          <w:rFonts w:hint="eastAsia" w:ascii="仿宋_GB2312" w:eastAsia="仿宋_GB2312"/>
          <w:sz w:val="28"/>
          <w:szCs w:val="28"/>
          <w:highlight w:val="none"/>
        </w:rPr>
        <w:t>〔2019〕</w:t>
      </w:r>
      <w:r>
        <w:rPr>
          <w:rFonts w:hint="eastAsia" w:ascii="仿宋_GB2312" w:eastAsia="仿宋_GB2312"/>
          <w:sz w:val="28"/>
          <w:szCs w:val="28"/>
          <w:highlight w:val="none"/>
          <w:lang w:val="en-US" w:eastAsia="zh-CN"/>
        </w:rPr>
        <w:t>18</w:t>
      </w:r>
      <w:r>
        <w:rPr>
          <w:rFonts w:hint="eastAsia" w:ascii="仿宋_GB2312" w:eastAsia="仿宋_GB2312"/>
          <w:sz w:val="28"/>
          <w:szCs w:val="28"/>
          <w:highlight w:val="none"/>
        </w:rPr>
        <w:t>号)等相关绩效评价管理办法的</w:t>
      </w:r>
      <w:r>
        <w:rPr>
          <w:rFonts w:hint="eastAsia" w:ascii="仿宋_GB2312" w:eastAsia="仿宋_GB2312"/>
          <w:sz w:val="28"/>
          <w:szCs w:val="32"/>
          <w:highlight w:val="none"/>
        </w:rPr>
        <w:t>文件要求，依据资料审核、问卷调查获取的数据与情况，评价机构对该项目进行绩效评价。</w:t>
      </w:r>
    </w:p>
    <w:p w14:paraId="3D9C6FE7">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3.评价方法。</w:t>
      </w:r>
      <w:r>
        <w:rPr>
          <w:rFonts w:hint="eastAsia" w:ascii="仿宋_GB2312" w:eastAsia="仿宋_GB2312"/>
          <w:sz w:val="28"/>
          <w:szCs w:val="32"/>
          <w:highlight w:val="none"/>
        </w:rPr>
        <w:t>本次绩效评价属于项目实施效果评价，根据</w:t>
      </w:r>
      <w:r>
        <w:rPr>
          <w:rFonts w:hint="eastAsia" w:ascii="仿宋_GB2312" w:eastAsia="仿宋_GB2312"/>
          <w:sz w:val="28"/>
          <w:szCs w:val="32"/>
          <w:highlight w:val="none"/>
          <w:lang w:eastAsia="zh-CN"/>
        </w:rPr>
        <w:t>玉田县农业农村局冀财债【2023】42号文2023年第七批政府债券玉田县农业人居环境综合整治项目</w:t>
      </w:r>
      <w:r>
        <w:rPr>
          <w:rFonts w:hint="eastAsia" w:ascii="仿宋_GB2312" w:eastAsia="仿宋_GB2312"/>
          <w:sz w:val="28"/>
          <w:szCs w:val="32"/>
          <w:highlight w:val="none"/>
        </w:rPr>
        <w:t>的特点，评价机构采用现场调研、问卷调查与资料审核相结合，定性和定量相结合的方法进行。在定性分析基础上，对相关评价内容尽量制定量化考评指标，进行量化分析，并作出定性定量的评价结果。</w:t>
      </w:r>
    </w:p>
    <w:p w14:paraId="23480740">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hAnsi="仿宋_GB2312" w:eastAsia="仿宋_GB2312" w:cs="仿宋"/>
          <w:b/>
          <w:sz w:val="28"/>
          <w:szCs w:val="28"/>
          <w:highlight w:val="none"/>
        </w:rPr>
        <w:t>4.评价指标体系。</w:t>
      </w:r>
      <w:r>
        <w:rPr>
          <w:rFonts w:hint="eastAsia" w:ascii="仿宋_GB2312" w:eastAsia="仿宋_GB2312"/>
          <w:sz w:val="28"/>
          <w:szCs w:val="32"/>
          <w:highlight w:val="none"/>
        </w:rPr>
        <w:t>根据</w:t>
      </w:r>
      <w:r>
        <w:rPr>
          <w:rFonts w:hint="eastAsia" w:ascii="仿宋_GB2312" w:eastAsia="仿宋_GB2312"/>
          <w:bCs/>
          <w:sz w:val="28"/>
          <w:szCs w:val="28"/>
          <w:highlight w:val="none"/>
        </w:rPr>
        <w:t>《财政部关于印发&lt;项目支出绩效评价管理办法&gt;的通知》（财预〔2020〕10号）</w:t>
      </w:r>
      <w:r>
        <w:rPr>
          <w:rFonts w:hint="eastAsia" w:ascii="仿宋_GB2312" w:eastAsia="仿宋_GB2312"/>
          <w:sz w:val="28"/>
          <w:szCs w:val="28"/>
          <w:highlight w:val="none"/>
        </w:rPr>
        <w:t>等</w:t>
      </w:r>
      <w:r>
        <w:rPr>
          <w:rFonts w:hint="eastAsia" w:ascii="仿宋_GB2312" w:hAnsi="仿宋" w:eastAsia="仿宋_GB2312" w:cs="仿宋"/>
          <w:sz w:val="28"/>
          <w:szCs w:val="28"/>
          <w:highlight w:val="none"/>
        </w:rPr>
        <w:t>文件</w:t>
      </w:r>
      <w:r>
        <w:rPr>
          <w:rFonts w:hint="eastAsia" w:ascii="仿宋_GB2312" w:eastAsia="仿宋_GB2312"/>
          <w:sz w:val="28"/>
          <w:szCs w:val="32"/>
          <w:highlight w:val="none"/>
        </w:rPr>
        <w:t>要求，并结合项目特点，评价机构通过咨询</w:t>
      </w:r>
      <w:r>
        <w:rPr>
          <w:rFonts w:hint="eastAsia" w:ascii="仿宋_GB2312" w:eastAsia="仿宋_GB2312"/>
          <w:sz w:val="28"/>
          <w:szCs w:val="32"/>
          <w:highlight w:val="none"/>
          <w:lang w:eastAsia="zh-CN"/>
        </w:rPr>
        <w:t>、</w:t>
      </w:r>
      <w:r>
        <w:rPr>
          <w:rFonts w:hint="eastAsia" w:ascii="仿宋_GB2312" w:eastAsia="仿宋_GB2312"/>
          <w:sz w:val="28"/>
          <w:szCs w:val="32"/>
          <w:highlight w:val="none"/>
        </w:rPr>
        <w:t>研究并细化了该项目的绩效评价指标体系。评价主要内容包括决策、过程、产出、效益四个方面。</w:t>
      </w:r>
    </w:p>
    <w:p w14:paraId="0BEBD92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hAnsi="仿宋_GB2312" w:eastAsia="仿宋_GB2312" w:cs="仿宋"/>
          <w:b/>
          <w:sz w:val="28"/>
          <w:szCs w:val="28"/>
          <w:highlight w:val="none"/>
        </w:rPr>
        <w:t>5.评价综合绩效级别。</w:t>
      </w:r>
      <w:r>
        <w:rPr>
          <w:rFonts w:hint="eastAsia" w:ascii="仿宋_GB2312" w:eastAsia="仿宋_GB2312"/>
          <w:sz w:val="28"/>
          <w:szCs w:val="32"/>
          <w:highlight w:val="none"/>
        </w:rPr>
        <w:t>本次绩效评价综合绩效级别依据</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玉田县财政局</w:t>
      </w:r>
      <w:r>
        <w:rPr>
          <w:rFonts w:hint="eastAsia" w:ascii="仿宋_GB2312" w:eastAsia="仿宋_GB2312"/>
          <w:sz w:val="28"/>
          <w:szCs w:val="28"/>
          <w:highlight w:val="none"/>
        </w:rPr>
        <w:t>关于印发&lt;预算绩效重点评价管理办法&gt;的通知》（</w:t>
      </w:r>
      <w:r>
        <w:rPr>
          <w:rFonts w:hint="eastAsia" w:ascii="仿宋_GB2312" w:eastAsia="仿宋_GB2312"/>
          <w:sz w:val="28"/>
          <w:szCs w:val="28"/>
          <w:highlight w:val="none"/>
          <w:lang w:eastAsia="zh-CN"/>
        </w:rPr>
        <w:t>玉财预</w:t>
      </w:r>
      <w:r>
        <w:rPr>
          <w:rFonts w:hint="eastAsia" w:ascii="仿宋_GB2312" w:eastAsia="仿宋_GB2312"/>
          <w:sz w:val="28"/>
          <w:szCs w:val="28"/>
          <w:highlight w:val="none"/>
        </w:rPr>
        <w:t>〔2019〕</w:t>
      </w:r>
      <w:r>
        <w:rPr>
          <w:rFonts w:hint="eastAsia" w:ascii="仿宋_GB2312" w:eastAsia="仿宋_GB2312"/>
          <w:sz w:val="28"/>
          <w:szCs w:val="28"/>
          <w:highlight w:val="none"/>
          <w:lang w:val="en-US" w:eastAsia="zh-CN"/>
        </w:rPr>
        <w:t>18</w:t>
      </w:r>
      <w:r>
        <w:rPr>
          <w:rFonts w:hint="eastAsia" w:ascii="仿宋_GB2312" w:eastAsia="仿宋_GB2312"/>
          <w:sz w:val="28"/>
          <w:szCs w:val="28"/>
          <w:highlight w:val="none"/>
        </w:rPr>
        <w:t>号）</w:t>
      </w:r>
      <w:r>
        <w:rPr>
          <w:rFonts w:hint="eastAsia" w:ascii="仿宋_GB2312" w:eastAsia="仿宋_GB2312"/>
          <w:sz w:val="28"/>
          <w:szCs w:val="32"/>
          <w:highlight w:val="none"/>
        </w:rPr>
        <w:t>文件确定，分为4个等级：</w:t>
      </w:r>
    </w:p>
    <w:p w14:paraId="57B00A0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综合得分在90-100分（含90分）为“优”等次；</w:t>
      </w:r>
    </w:p>
    <w:p w14:paraId="199F718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综合得分在80—90分（含80分）为“良”等次；</w:t>
      </w:r>
    </w:p>
    <w:p w14:paraId="34BA46E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综合得分在60-80分（含80分）为“中”等次；</w:t>
      </w:r>
    </w:p>
    <w:p w14:paraId="76ECE12C">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综合得分在60分以下为“差”等次。</w:t>
      </w:r>
    </w:p>
    <w:p w14:paraId="35C4298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hAnsi="仿宋_GB2312" w:eastAsia="仿宋_GB2312" w:cs="仿宋"/>
          <w:sz w:val="28"/>
          <w:szCs w:val="28"/>
          <w:highlight w:val="none"/>
        </w:rPr>
        <w:t>如果项目缺乏用来说明现有绩效的资料，或者主管部门与项目单位无法对部门的绩效目标完成情况等达成一致，则项目定级结果为无法显示成效。</w:t>
      </w:r>
    </w:p>
    <w:p w14:paraId="0B940671">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7" w:name="_Toc44343765"/>
      <w:r>
        <w:rPr>
          <w:rFonts w:hint="eastAsia" w:ascii="仿宋_GB2312" w:hAnsi="仿宋_GB2312" w:eastAsia="仿宋_GB2312" w:cs="仿宋"/>
          <w:b/>
          <w:sz w:val="28"/>
          <w:szCs w:val="28"/>
          <w:highlight w:val="none"/>
        </w:rPr>
        <w:t>（二）评价组织实施</w:t>
      </w:r>
      <w:bookmarkEnd w:id="7"/>
    </w:p>
    <w:p w14:paraId="51A1513C">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eastAsia="仿宋_GB2312"/>
          <w:b/>
          <w:bCs/>
          <w:sz w:val="28"/>
          <w:szCs w:val="32"/>
          <w:highlight w:val="none"/>
        </w:rPr>
        <w:t>1.前期准备</w:t>
      </w:r>
    </w:p>
    <w:p w14:paraId="55BDD46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_GB2312" w:eastAsia="仿宋_GB2312"/>
          <w:sz w:val="28"/>
          <w:szCs w:val="32"/>
          <w:highlight w:val="none"/>
        </w:rPr>
      </w:pPr>
      <w:r>
        <w:rPr>
          <w:rFonts w:hint="eastAsia" w:ascii="仿宋_GB2312" w:eastAsia="仿宋_GB2312"/>
          <w:b/>
          <w:bCs/>
          <w:sz w:val="28"/>
          <w:szCs w:val="32"/>
          <w:highlight w:val="none"/>
        </w:rPr>
        <w:t>准备阶段</w:t>
      </w:r>
      <w:r>
        <w:rPr>
          <w:rFonts w:hint="eastAsia" w:ascii="仿宋_GB2312" w:eastAsia="仿宋_GB2312"/>
          <w:b/>
          <w:bCs/>
          <w:sz w:val="28"/>
          <w:szCs w:val="32"/>
          <w:highlight w:val="none"/>
          <w:lang w:eastAsia="zh-CN"/>
        </w:rPr>
        <w:t>。</w:t>
      </w:r>
      <w:r>
        <w:rPr>
          <w:rFonts w:hint="eastAsia" w:ascii="仿宋_GB2312" w:eastAsia="仿宋_GB2312"/>
          <w:sz w:val="28"/>
          <w:szCs w:val="32"/>
          <w:highlight w:val="none"/>
        </w:rPr>
        <w:t>成立了由主管财务的张春生副局长任组长，由办公室主任黄云海、财务科科长刘宝生、人事科科长陈玉慧共3人组成部门绩效评价小组，负责绩效评价具体工作。评价小组认真学习绩效评价相关文件以及我局项目评价指标、评价方法、评价标准等评价要素，为评价工作打下了坚实的理论基础。</w:t>
      </w:r>
    </w:p>
    <w:p w14:paraId="313BAD0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sz w:val="28"/>
          <w:szCs w:val="32"/>
          <w:highlight w:val="none"/>
        </w:rPr>
      </w:pPr>
      <w:r>
        <w:rPr>
          <w:rFonts w:hint="eastAsia" w:ascii="仿宋_GB2312" w:eastAsia="仿宋_GB2312"/>
          <w:b/>
          <w:bCs/>
          <w:sz w:val="28"/>
          <w:szCs w:val="32"/>
          <w:highlight w:val="none"/>
        </w:rPr>
        <w:t>编制评价方案。</w:t>
      </w:r>
      <w:r>
        <w:rPr>
          <w:rFonts w:hint="eastAsia" w:ascii="仿宋_GB2312" w:eastAsia="仿宋_GB2312"/>
          <w:sz w:val="28"/>
          <w:szCs w:val="32"/>
          <w:highlight w:val="none"/>
        </w:rPr>
        <w:t>评价工作组在前期收集资料的基础上，制定了评价工作方案，明确了评价对象、评价依据和原则、评价思路及方法、评价工作进度安排等内容。</w:t>
      </w:r>
      <w:r>
        <w:rPr>
          <w:rFonts w:hint="eastAsia" w:ascii="仿宋_GB2312" w:eastAsia="仿宋_GB2312"/>
          <w:sz w:val="28"/>
          <w:szCs w:val="32"/>
          <w:highlight w:val="none"/>
          <w:lang w:eastAsia="zh-CN"/>
        </w:rPr>
        <w:t>2023年</w:t>
      </w:r>
      <w:r>
        <w:rPr>
          <w:rFonts w:hint="eastAsia" w:ascii="仿宋_GB2312" w:eastAsia="仿宋_GB2312"/>
          <w:sz w:val="28"/>
          <w:szCs w:val="32"/>
          <w:highlight w:val="none"/>
          <w:lang w:val="en-US" w:eastAsia="zh-CN"/>
        </w:rPr>
        <w:t>7</w:t>
      </w:r>
      <w:r>
        <w:rPr>
          <w:rFonts w:hint="eastAsia" w:ascii="仿宋_GB2312" w:eastAsia="仿宋_GB2312"/>
          <w:sz w:val="28"/>
          <w:szCs w:val="32"/>
          <w:highlight w:val="none"/>
        </w:rPr>
        <w:t>月中旬，完成了绩效评价工作方案编制工作。</w:t>
      </w:r>
      <w:r>
        <w:rPr>
          <w:rFonts w:hint="eastAsia" w:ascii="仿宋_GB2312" w:eastAsia="仿宋_GB2312"/>
          <w:sz w:val="28"/>
          <w:szCs w:val="32"/>
          <w:highlight w:val="none"/>
          <w:lang w:eastAsia="zh-CN"/>
        </w:rPr>
        <w:t>玉田县农业农村局内部</w:t>
      </w:r>
      <w:r>
        <w:rPr>
          <w:rFonts w:hint="eastAsia" w:ascii="仿宋_GB2312" w:eastAsia="仿宋_GB2312"/>
          <w:sz w:val="28"/>
          <w:szCs w:val="32"/>
          <w:highlight w:val="none"/>
        </w:rPr>
        <w:t>开展培训工作，在深入了解项目情况的基础上对项目评价方案和指标体系进行修改，并与委托方及项目单位就工作方案内容进行了确认。</w:t>
      </w:r>
    </w:p>
    <w:p w14:paraId="3E199ACC">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制定绩效评价指标体系。</w:t>
      </w:r>
      <w:r>
        <w:rPr>
          <w:rFonts w:hint="eastAsia" w:ascii="仿宋_GB2312" w:hAnsi="仿宋" w:eastAsia="仿宋_GB2312" w:cs="仿宋"/>
          <w:sz w:val="28"/>
          <w:szCs w:val="28"/>
          <w:highlight w:val="none"/>
        </w:rPr>
        <w:t>参照财政支出项目绩效评价指标体系框架，在了解项目基本情况的基础上，对投入、过程、产出和效果等指标进行了细化，编制绩效评价指标体系。</w:t>
      </w:r>
    </w:p>
    <w:p w14:paraId="4FD781DC">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制定满意度调查问卷。</w:t>
      </w:r>
      <w:r>
        <w:rPr>
          <w:rFonts w:hint="eastAsia" w:ascii="仿宋_GB2312" w:hAnsi="仿宋" w:eastAsia="仿宋_GB2312" w:cs="仿宋"/>
          <w:sz w:val="28"/>
          <w:szCs w:val="28"/>
          <w:highlight w:val="none"/>
        </w:rPr>
        <w:t>根据项目实际情况制定项目服务群体满意度调查问卷，重点调查</w:t>
      </w:r>
      <w:r>
        <w:rPr>
          <w:rFonts w:hint="eastAsia" w:ascii="仿宋_GB2312" w:hAnsi="仿宋" w:eastAsia="仿宋_GB2312" w:cs="仿宋"/>
          <w:sz w:val="28"/>
          <w:szCs w:val="28"/>
          <w:highlight w:val="none"/>
          <w:lang w:eastAsia="zh-CN"/>
        </w:rPr>
        <w:t>工作人员使用执法车</w:t>
      </w:r>
      <w:r>
        <w:rPr>
          <w:rFonts w:hint="eastAsia" w:ascii="仿宋_GB2312" w:hAnsi="仿宋" w:eastAsia="仿宋_GB2312" w:cs="仿宋"/>
          <w:sz w:val="28"/>
          <w:szCs w:val="28"/>
          <w:highlight w:val="none"/>
        </w:rPr>
        <w:t>的满意度等。</w:t>
      </w:r>
    </w:p>
    <w:p w14:paraId="321B25BB">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eastAsia="仿宋_GB2312"/>
          <w:b/>
          <w:bCs/>
          <w:sz w:val="28"/>
          <w:szCs w:val="32"/>
          <w:highlight w:val="none"/>
        </w:rPr>
        <w:t>2.组织实施</w:t>
      </w:r>
    </w:p>
    <w:p w14:paraId="6775139B">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资料审核。</w:t>
      </w:r>
      <w:r>
        <w:rPr>
          <w:rFonts w:hint="eastAsia" w:ascii="仿宋_GB2312" w:hAnsi="仿宋" w:eastAsia="仿宋_GB2312" w:cs="仿宋"/>
          <w:sz w:val="28"/>
          <w:szCs w:val="28"/>
          <w:highlight w:val="none"/>
        </w:rPr>
        <w:t>组织收集项目相关资料，对项目单位提交资料进行审核，围绕项目决策、过程、产出和效益进行梳理，对相关数据进行汇总，填写指标体系评分要点，形成绩效评价工作底稿。</w:t>
      </w:r>
    </w:p>
    <w:p w14:paraId="255EE725">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rPr>
          <w:rFonts w:ascii="仿宋_GB2312" w:eastAsia="仿宋_GB2312"/>
          <w:b/>
          <w:bCs/>
          <w:sz w:val="28"/>
          <w:szCs w:val="32"/>
          <w:highlight w:val="none"/>
        </w:rPr>
      </w:pPr>
      <w:r>
        <w:rPr>
          <w:rFonts w:hint="eastAsia" w:ascii="仿宋_GB2312" w:hAnsi="宋体" w:eastAsia="仿宋_GB2312"/>
          <w:b/>
          <w:bCs/>
          <w:sz w:val="28"/>
          <w:szCs w:val="28"/>
          <w:highlight w:val="none"/>
        </w:rPr>
        <w:t>现场勘查</w:t>
      </w:r>
      <w:r>
        <w:rPr>
          <w:rFonts w:hint="eastAsia" w:ascii="仿宋_GB2312" w:hAnsi="宋体" w:eastAsia="仿宋_GB2312"/>
          <w:sz w:val="28"/>
          <w:szCs w:val="28"/>
          <w:highlight w:val="none"/>
        </w:rPr>
        <w:t>。</w:t>
      </w:r>
      <w:r>
        <w:rPr>
          <w:rFonts w:hint="eastAsia" w:ascii="仿宋_GB2312" w:eastAsia="仿宋_GB2312"/>
          <w:sz w:val="28"/>
          <w:szCs w:val="32"/>
          <w:highlight w:val="none"/>
          <w:lang w:val="en-US" w:eastAsia="zh-CN"/>
        </w:rPr>
        <w:t>2023年8月</w:t>
      </w:r>
      <w:r>
        <w:rPr>
          <w:rFonts w:hint="eastAsia" w:ascii="仿宋_GB2312" w:eastAsia="仿宋_GB2312"/>
          <w:sz w:val="28"/>
          <w:szCs w:val="32"/>
          <w:highlight w:val="none"/>
        </w:rPr>
        <w:t>，</w:t>
      </w:r>
      <w:r>
        <w:rPr>
          <w:rFonts w:hint="eastAsia" w:ascii="仿宋_GB2312" w:eastAsia="仿宋_GB2312"/>
          <w:sz w:val="28"/>
          <w:szCs w:val="32"/>
          <w:highlight w:val="none"/>
          <w:lang w:eastAsia="zh-CN"/>
        </w:rPr>
        <w:t>财政局</w:t>
      </w:r>
      <w:r>
        <w:rPr>
          <w:rFonts w:hint="eastAsia" w:ascii="仿宋_GB2312" w:eastAsia="仿宋_GB2312"/>
          <w:sz w:val="28"/>
          <w:szCs w:val="32"/>
          <w:highlight w:val="none"/>
        </w:rPr>
        <w:t>进行现场资料核实，查阅</w:t>
      </w:r>
      <w:r>
        <w:rPr>
          <w:rFonts w:hint="eastAsia" w:ascii="仿宋_GB2312" w:eastAsia="仿宋_GB2312"/>
          <w:sz w:val="28"/>
          <w:szCs w:val="32"/>
          <w:highlight w:val="none"/>
          <w:lang w:eastAsia="zh-CN"/>
        </w:rPr>
        <w:t>债务偿还</w:t>
      </w:r>
      <w:r>
        <w:rPr>
          <w:rFonts w:hint="eastAsia" w:ascii="仿宋_GB2312" w:eastAsia="仿宋_GB2312"/>
          <w:sz w:val="28"/>
          <w:szCs w:val="32"/>
          <w:highlight w:val="none"/>
        </w:rPr>
        <w:t>等全过程档案资料，并对现场掌握的有关信息资料进行分类、整理和初步分析，出具审核意见。</w:t>
      </w:r>
    </w:p>
    <w:p w14:paraId="6994CBC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 w:eastAsia="仿宋_GB2312" w:cs="仿宋"/>
          <w:sz w:val="28"/>
          <w:szCs w:val="28"/>
          <w:highlight w:val="none"/>
        </w:rPr>
      </w:pPr>
      <w:r>
        <w:rPr>
          <w:rFonts w:hint="eastAsia" w:ascii="仿宋_GB2312" w:hAnsi="仿宋" w:eastAsia="仿宋_GB2312" w:cs="仿宋"/>
          <w:b/>
          <w:sz w:val="28"/>
          <w:szCs w:val="28"/>
          <w:highlight w:val="none"/>
        </w:rPr>
        <w:t>综合分析。</w:t>
      </w:r>
      <w:r>
        <w:rPr>
          <w:rFonts w:hint="eastAsia" w:ascii="仿宋_GB2312" w:hAnsi="仿宋" w:eastAsia="仿宋_GB2312" w:cs="仿宋"/>
          <w:sz w:val="28"/>
          <w:szCs w:val="28"/>
          <w:highlight w:val="none"/>
        </w:rPr>
        <w:t>在前期资料收集、整理分析、调研访谈等工作基础上，评价机构针对前期工作发现的问题与项目单位进一步沟通，并对照绩效评价指标体系对该项目进行了综合评价。</w:t>
      </w:r>
    </w:p>
    <w:p w14:paraId="33C8B28A">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8" w:name="_Toc44343766"/>
      <w:r>
        <w:rPr>
          <w:rFonts w:hint="eastAsia" w:ascii="仿宋_GB2312" w:hAnsi="仿宋_GB2312" w:eastAsia="仿宋_GB2312" w:cs="仿宋"/>
          <w:b/>
          <w:sz w:val="28"/>
          <w:szCs w:val="28"/>
          <w:highlight w:val="none"/>
        </w:rPr>
        <w:t>三、总体评价结论</w:t>
      </w:r>
      <w:bookmarkEnd w:id="8"/>
    </w:p>
    <w:p w14:paraId="244B4A54">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9" w:name="_Toc44343767"/>
      <w:r>
        <w:rPr>
          <w:rFonts w:hint="eastAsia" w:ascii="仿宋_GB2312" w:hAnsi="仿宋_GB2312" w:eastAsia="仿宋_GB2312" w:cs="仿宋"/>
          <w:b/>
          <w:sz w:val="28"/>
          <w:szCs w:val="28"/>
          <w:highlight w:val="none"/>
        </w:rPr>
        <w:t>（一）评价得分情况</w:t>
      </w:r>
      <w:bookmarkEnd w:id="9"/>
    </w:p>
    <w:p w14:paraId="653B32D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2023年玉田县农业农村局冀财债【2023】42号文2023年第七批政府债券玉田县农业人居环境综合整治项目</w:t>
      </w:r>
      <w:r>
        <w:rPr>
          <w:rFonts w:hint="eastAsia" w:ascii="仿宋_GB2312" w:eastAsia="仿宋_GB2312"/>
          <w:b/>
          <w:sz w:val="28"/>
          <w:szCs w:val="32"/>
          <w:highlight w:val="none"/>
        </w:rPr>
        <w:t>综合得分88.5</w:t>
      </w:r>
      <w:r>
        <w:rPr>
          <w:rFonts w:ascii="仿宋_GB2312" w:eastAsia="仿宋_GB2312"/>
          <w:b/>
          <w:sz w:val="28"/>
          <w:szCs w:val="32"/>
          <w:highlight w:val="none"/>
        </w:rPr>
        <w:t>9</w:t>
      </w:r>
      <w:r>
        <w:rPr>
          <w:rFonts w:hint="eastAsia" w:ascii="仿宋_GB2312" w:eastAsia="仿宋_GB2312"/>
          <w:b/>
          <w:sz w:val="28"/>
          <w:szCs w:val="32"/>
          <w:highlight w:val="none"/>
        </w:rPr>
        <w:t>分</w:t>
      </w:r>
      <w:r>
        <w:rPr>
          <w:rFonts w:hint="eastAsia" w:ascii="仿宋_GB2312" w:eastAsia="仿宋_GB2312"/>
          <w:sz w:val="28"/>
          <w:szCs w:val="32"/>
          <w:highlight w:val="none"/>
        </w:rPr>
        <w:t>。其中：项目决策17.32分，项目过程</w:t>
      </w:r>
      <w:r>
        <w:rPr>
          <w:rFonts w:ascii="仿宋_GB2312" w:eastAsia="仿宋_GB2312"/>
          <w:sz w:val="28"/>
          <w:szCs w:val="32"/>
          <w:highlight w:val="none"/>
        </w:rPr>
        <w:t>16.7</w:t>
      </w:r>
      <w:r>
        <w:rPr>
          <w:rFonts w:hint="eastAsia" w:ascii="仿宋_GB2312" w:eastAsia="仿宋_GB2312"/>
          <w:sz w:val="28"/>
          <w:szCs w:val="32"/>
          <w:highlight w:val="none"/>
        </w:rPr>
        <w:t>分，项目产出</w:t>
      </w:r>
      <w:r>
        <w:rPr>
          <w:rFonts w:ascii="仿宋_GB2312" w:eastAsia="仿宋_GB2312"/>
          <w:sz w:val="28"/>
          <w:szCs w:val="32"/>
          <w:highlight w:val="none"/>
        </w:rPr>
        <w:t>27.25</w:t>
      </w:r>
      <w:r>
        <w:rPr>
          <w:rFonts w:hint="eastAsia" w:ascii="仿宋_GB2312" w:eastAsia="仿宋_GB2312"/>
          <w:sz w:val="28"/>
          <w:szCs w:val="32"/>
          <w:highlight w:val="none"/>
        </w:rPr>
        <w:t>分，项目效益</w:t>
      </w:r>
      <w:r>
        <w:rPr>
          <w:rFonts w:ascii="仿宋_GB2312" w:eastAsia="仿宋_GB2312"/>
          <w:sz w:val="28"/>
          <w:szCs w:val="32"/>
          <w:highlight w:val="none"/>
        </w:rPr>
        <w:t>27.32</w:t>
      </w:r>
      <w:r>
        <w:rPr>
          <w:rFonts w:hint="eastAsia" w:ascii="仿宋_GB2312" w:eastAsia="仿宋_GB2312"/>
          <w:sz w:val="28"/>
          <w:szCs w:val="32"/>
          <w:highlight w:val="none"/>
        </w:rPr>
        <w:t>分。综合绩效级别为“良”。各指标详细得分情况详见附件1。</w:t>
      </w:r>
    </w:p>
    <w:p w14:paraId="791FB4A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2023年玉田县农业农村局冀财债【2023】42号文2023年第七批政府债券玉田县农业人居环境综合整治项目</w:t>
      </w:r>
      <w:r>
        <w:rPr>
          <w:rFonts w:hint="eastAsia" w:ascii="仿宋_GB2312" w:eastAsia="仿宋_GB2312"/>
          <w:sz w:val="28"/>
          <w:szCs w:val="32"/>
          <w:highlight w:val="none"/>
        </w:rPr>
        <w:t>整体完成情况较好。项目实施对</w:t>
      </w:r>
      <w:r>
        <w:rPr>
          <w:rFonts w:hint="eastAsia" w:ascii="仿宋_GB2312" w:eastAsia="仿宋_GB2312"/>
          <w:sz w:val="28"/>
          <w:szCs w:val="32"/>
          <w:highlight w:val="none"/>
          <w:lang w:eastAsia="zh-CN"/>
        </w:rPr>
        <w:t>维护单位运转</w:t>
      </w:r>
      <w:r>
        <w:rPr>
          <w:rFonts w:hint="eastAsia" w:ascii="仿宋_GB2312" w:eastAsia="仿宋_GB2312"/>
          <w:sz w:val="28"/>
          <w:szCs w:val="32"/>
          <w:highlight w:val="none"/>
        </w:rPr>
        <w:t>，稳定</w:t>
      </w:r>
      <w:r>
        <w:rPr>
          <w:rFonts w:hint="eastAsia" w:ascii="仿宋_GB2312" w:eastAsia="仿宋_GB2312"/>
          <w:sz w:val="28"/>
          <w:szCs w:val="32"/>
          <w:highlight w:val="none"/>
          <w:lang w:eastAsia="zh-CN"/>
        </w:rPr>
        <w:t>社会稳定</w:t>
      </w:r>
      <w:r>
        <w:rPr>
          <w:rFonts w:hint="eastAsia" w:ascii="仿宋_GB2312" w:eastAsia="仿宋_GB2312"/>
          <w:sz w:val="28"/>
          <w:szCs w:val="32"/>
          <w:highlight w:val="none"/>
        </w:rPr>
        <w:t>有一定正向作用。但仍存在项目支出绩效目标表填报不够规范，资格审核机制存在漏洞，信息公开不全面，政策宣传不够深入等问题。</w:t>
      </w:r>
    </w:p>
    <w:p w14:paraId="555D184F">
      <w:pPr>
        <w:pStyle w:val="2"/>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sz w:val="24"/>
          <w:szCs w:val="24"/>
          <w:highlight w:val="none"/>
          <w:lang w:eastAsia="zh-CN"/>
        </w:rPr>
      </w:pPr>
      <w:r>
        <w:rPr>
          <w:rFonts w:ascii="宋体" w:hAnsi="宋体" w:eastAsia="宋体" w:cs="Times New Roman"/>
          <w:b/>
          <w:sz w:val="24"/>
          <w:szCs w:val="24"/>
          <w:highlight w:val="none"/>
        </w:rPr>
        <w:t xml:space="preserve">表3 </w:t>
      </w:r>
      <w:r>
        <w:rPr>
          <w:rFonts w:hint="eastAsia" w:ascii="宋体" w:hAnsi="宋体" w:eastAsia="宋体" w:cs="Times New Roman"/>
          <w:b/>
          <w:sz w:val="24"/>
          <w:szCs w:val="24"/>
          <w:highlight w:val="none"/>
          <w:lang w:eastAsia="zh-CN"/>
        </w:rPr>
        <w:t>2023年玉田县农业农村局冀财债【2023】42号文2023年第七批政府债券玉田县农业人居环境综合整治项目</w:t>
      </w:r>
    </w:p>
    <w:tbl>
      <w:tblPr>
        <w:tblStyle w:val="7"/>
        <w:tblW w:w="7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1871"/>
        <w:gridCol w:w="1871"/>
        <w:gridCol w:w="1871"/>
      </w:tblGrid>
      <w:tr w14:paraId="3D35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shd w:val="clear" w:color="auto" w:fill="BEBEBE" w:themeFill="background1" w:themeFillShade="BF"/>
            <w:vAlign w:val="center"/>
          </w:tcPr>
          <w:p w14:paraId="38548AA0">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评价内容</w:t>
            </w:r>
          </w:p>
        </w:tc>
        <w:tc>
          <w:tcPr>
            <w:tcW w:w="1871" w:type="dxa"/>
            <w:shd w:val="clear" w:color="auto" w:fill="BEBEBE" w:themeFill="background1" w:themeFillShade="BF"/>
            <w:vAlign w:val="center"/>
          </w:tcPr>
          <w:p w14:paraId="475DD497">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标准得分</w:t>
            </w:r>
          </w:p>
        </w:tc>
        <w:tc>
          <w:tcPr>
            <w:tcW w:w="1871" w:type="dxa"/>
            <w:shd w:val="clear" w:color="auto" w:fill="BEBEBE" w:themeFill="background1" w:themeFillShade="BF"/>
            <w:vAlign w:val="center"/>
          </w:tcPr>
          <w:p w14:paraId="1895D7B0">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评价得分</w:t>
            </w:r>
          </w:p>
        </w:tc>
        <w:tc>
          <w:tcPr>
            <w:tcW w:w="1871" w:type="dxa"/>
            <w:shd w:val="clear" w:color="auto" w:fill="BEBEBE" w:themeFill="background1" w:themeFillShade="BF"/>
            <w:vAlign w:val="center"/>
          </w:tcPr>
          <w:p w14:paraId="6C5F88D7">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得分率</w:t>
            </w:r>
          </w:p>
        </w:tc>
      </w:tr>
      <w:tr w14:paraId="55F7E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1C1B9546">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项目决策</w:t>
            </w:r>
          </w:p>
        </w:tc>
        <w:tc>
          <w:tcPr>
            <w:tcW w:w="1871" w:type="dxa"/>
            <w:vAlign w:val="center"/>
          </w:tcPr>
          <w:p w14:paraId="35A4A44A">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2</w:t>
            </w:r>
            <w:r>
              <w:rPr>
                <w:rFonts w:ascii="宋体" w:hAnsi="宋体"/>
                <w:sz w:val="20"/>
                <w:szCs w:val="20"/>
                <w:highlight w:val="none"/>
              </w:rPr>
              <w:t>0</w:t>
            </w:r>
          </w:p>
        </w:tc>
        <w:tc>
          <w:tcPr>
            <w:tcW w:w="1871" w:type="dxa"/>
            <w:vAlign w:val="center"/>
          </w:tcPr>
          <w:p w14:paraId="3346329E">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1</w:t>
            </w:r>
            <w:r>
              <w:rPr>
                <w:rFonts w:ascii="宋体" w:hAnsi="宋体"/>
                <w:sz w:val="20"/>
                <w:szCs w:val="20"/>
                <w:highlight w:val="none"/>
              </w:rPr>
              <w:t>7.32</w:t>
            </w:r>
          </w:p>
        </w:tc>
        <w:tc>
          <w:tcPr>
            <w:tcW w:w="1871" w:type="dxa"/>
            <w:vAlign w:val="center"/>
          </w:tcPr>
          <w:p w14:paraId="36D07CA9">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8</w:t>
            </w:r>
            <w:r>
              <w:rPr>
                <w:rFonts w:ascii="宋体" w:hAnsi="宋体"/>
                <w:sz w:val="20"/>
                <w:szCs w:val="20"/>
                <w:highlight w:val="none"/>
              </w:rPr>
              <w:t>6.60</w:t>
            </w:r>
            <w:r>
              <w:rPr>
                <w:rFonts w:hint="eastAsia" w:ascii="宋体" w:hAnsi="宋体"/>
                <w:sz w:val="20"/>
                <w:szCs w:val="20"/>
                <w:highlight w:val="none"/>
              </w:rPr>
              <w:t>%</w:t>
            </w:r>
          </w:p>
        </w:tc>
      </w:tr>
      <w:tr w14:paraId="36BF4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3320E5C2">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项目过程</w:t>
            </w:r>
          </w:p>
        </w:tc>
        <w:tc>
          <w:tcPr>
            <w:tcW w:w="1871" w:type="dxa"/>
            <w:vAlign w:val="center"/>
          </w:tcPr>
          <w:p w14:paraId="24EFBEDD">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2</w:t>
            </w:r>
            <w:r>
              <w:rPr>
                <w:rFonts w:ascii="宋体" w:hAnsi="宋体"/>
                <w:sz w:val="20"/>
                <w:szCs w:val="20"/>
                <w:highlight w:val="none"/>
              </w:rPr>
              <w:t>0</w:t>
            </w:r>
          </w:p>
        </w:tc>
        <w:tc>
          <w:tcPr>
            <w:tcW w:w="1871" w:type="dxa"/>
            <w:vAlign w:val="center"/>
          </w:tcPr>
          <w:p w14:paraId="59248B45">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16.70</w:t>
            </w:r>
          </w:p>
        </w:tc>
        <w:tc>
          <w:tcPr>
            <w:tcW w:w="1871" w:type="dxa"/>
            <w:vAlign w:val="center"/>
          </w:tcPr>
          <w:p w14:paraId="6D144FCB">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83.50</w:t>
            </w:r>
            <w:r>
              <w:rPr>
                <w:rFonts w:hint="eastAsia" w:ascii="宋体" w:hAnsi="宋体"/>
                <w:sz w:val="20"/>
                <w:szCs w:val="20"/>
                <w:highlight w:val="none"/>
              </w:rPr>
              <w:t>%</w:t>
            </w:r>
          </w:p>
        </w:tc>
      </w:tr>
      <w:tr w14:paraId="32755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041779A4">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项目产出</w:t>
            </w:r>
          </w:p>
        </w:tc>
        <w:tc>
          <w:tcPr>
            <w:tcW w:w="1871" w:type="dxa"/>
            <w:vAlign w:val="center"/>
          </w:tcPr>
          <w:p w14:paraId="6FD21189">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3</w:t>
            </w:r>
            <w:r>
              <w:rPr>
                <w:rFonts w:ascii="宋体" w:hAnsi="宋体"/>
                <w:sz w:val="20"/>
                <w:szCs w:val="20"/>
                <w:highlight w:val="none"/>
              </w:rPr>
              <w:t>0</w:t>
            </w:r>
          </w:p>
        </w:tc>
        <w:tc>
          <w:tcPr>
            <w:tcW w:w="1871" w:type="dxa"/>
            <w:vAlign w:val="center"/>
          </w:tcPr>
          <w:p w14:paraId="0EBA1F8F">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27.25</w:t>
            </w:r>
          </w:p>
        </w:tc>
        <w:tc>
          <w:tcPr>
            <w:tcW w:w="1871" w:type="dxa"/>
            <w:vAlign w:val="center"/>
          </w:tcPr>
          <w:p w14:paraId="00B146EF">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9</w:t>
            </w:r>
            <w:r>
              <w:rPr>
                <w:rFonts w:ascii="宋体" w:hAnsi="宋体"/>
                <w:sz w:val="20"/>
                <w:szCs w:val="20"/>
                <w:highlight w:val="none"/>
              </w:rPr>
              <w:t>0.83</w:t>
            </w:r>
            <w:r>
              <w:rPr>
                <w:rFonts w:hint="eastAsia" w:ascii="宋体" w:hAnsi="宋体"/>
                <w:sz w:val="20"/>
                <w:szCs w:val="20"/>
                <w:highlight w:val="none"/>
              </w:rPr>
              <w:t>%</w:t>
            </w:r>
          </w:p>
        </w:tc>
      </w:tr>
      <w:tr w14:paraId="0EB7D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65EB6D9D">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项目效益</w:t>
            </w:r>
          </w:p>
        </w:tc>
        <w:tc>
          <w:tcPr>
            <w:tcW w:w="1871" w:type="dxa"/>
            <w:vAlign w:val="center"/>
          </w:tcPr>
          <w:p w14:paraId="1870EB20">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hint="eastAsia" w:ascii="宋体" w:hAnsi="宋体"/>
                <w:sz w:val="20"/>
                <w:szCs w:val="20"/>
                <w:highlight w:val="none"/>
              </w:rPr>
              <w:t>3</w:t>
            </w:r>
            <w:r>
              <w:rPr>
                <w:rFonts w:ascii="宋体" w:hAnsi="宋体"/>
                <w:sz w:val="20"/>
                <w:szCs w:val="20"/>
                <w:highlight w:val="none"/>
              </w:rPr>
              <w:t>0</w:t>
            </w:r>
          </w:p>
        </w:tc>
        <w:tc>
          <w:tcPr>
            <w:tcW w:w="1871" w:type="dxa"/>
            <w:vAlign w:val="center"/>
          </w:tcPr>
          <w:p w14:paraId="733624F9">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27.32</w:t>
            </w:r>
          </w:p>
        </w:tc>
        <w:tc>
          <w:tcPr>
            <w:tcW w:w="1871" w:type="dxa"/>
            <w:vAlign w:val="center"/>
          </w:tcPr>
          <w:p w14:paraId="55473D1D">
            <w:pPr>
              <w:keepNext w:val="0"/>
              <w:keepLines w:val="0"/>
              <w:pageBreakBefore w:val="0"/>
              <w:kinsoku/>
              <w:wordWrap/>
              <w:overflowPunct/>
              <w:topLinePunct w:val="0"/>
              <w:autoSpaceDE/>
              <w:autoSpaceDN/>
              <w:bidi w:val="0"/>
              <w:adjustRightInd/>
              <w:snapToGrid/>
              <w:jc w:val="center"/>
              <w:textAlignment w:val="auto"/>
              <w:rPr>
                <w:rFonts w:ascii="宋体" w:hAnsi="宋体"/>
                <w:sz w:val="20"/>
                <w:szCs w:val="20"/>
                <w:highlight w:val="none"/>
              </w:rPr>
            </w:pPr>
            <w:r>
              <w:rPr>
                <w:rFonts w:ascii="宋体" w:hAnsi="宋体"/>
                <w:sz w:val="20"/>
                <w:szCs w:val="20"/>
                <w:highlight w:val="none"/>
              </w:rPr>
              <w:t>91.07</w:t>
            </w:r>
            <w:r>
              <w:rPr>
                <w:rFonts w:hint="eastAsia" w:ascii="宋体" w:hAnsi="宋体"/>
                <w:sz w:val="20"/>
                <w:szCs w:val="20"/>
                <w:highlight w:val="none"/>
              </w:rPr>
              <w:t>%</w:t>
            </w:r>
          </w:p>
        </w:tc>
      </w:tr>
      <w:tr w14:paraId="31C8B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vAlign w:val="center"/>
          </w:tcPr>
          <w:p w14:paraId="2929E278">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综合绩效级别</w:t>
            </w:r>
          </w:p>
        </w:tc>
        <w:tc>
          <w:tcPr>
            <w:tcW w:w="5613" w:type="dxa"/>
            <w:gridSpan w:val="3"/>
            <w:vAlign w:val="center"/>
          </w:tcPr>
          <w:p w14:paraId="03AE9976">
            <w:pPr>
              <w:keepNext w:val="0"/>
              <w:keepLines w:val="0"/>
              <w:pageBreakBefore w:val="0"/>
              <w:kinsoku/>
              <w:wordWrap/>
              <w:overflowPunct/>
              <w:topLinePunct w:val="0"/>
              <w:autoSpaceDE/>
              <w:autoSpaceDN/>
              <w:bidi w:val="0"/>
              <w:adjustRightInd/>
              <w:snapToGrid/>
              <w:jc w:val="center"/>
              <w:textAlignment w:val="auto"/>
              <w:rPr>
                <w:rFonts w:ascii="宋体" w:hAnsi="宋体"/>
                <w:b/>
                <w:sz w:val="20"/>
                <w:szCs w:val="20"/>
                <w:highlight w:val="none"/>
              </w:rPr>
            </w:pPr>
            <w:r>
              <w:rPr>
                <w:rFonts w:hint="eastAsia" w:ascii="宋体" w:hAnsi="宋体"/>
                <w:b/>
                <w:sz w:val="20"/>
                <w:szCs w:val="20"/>
                <w:highlight w:val="none"/>
              </w:rPr>
              <w:t>良</w:t>
            </w:r>
          </w:p>
        </w:tc>
      </w:tr>
    </w:tbl>
    <w:p w14:paraId="7900B5C5">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0" w:name="_Toc44343768"/>
      <w:r>
        <w:rPr>
          <w:rFonts w:hint="eastAsia" w:ascii="仿宋_GB2312" w:hAnsi="仿宋_GB2312" w:eastAsia="仿宋_GB2312" w:cs="仿宋"/>
          <w:b/>
          <w:sz w:val="28"/>
          <w:szCs w:val="28"/>
          <w:highlight w:val="none"/>
        </w:rPr>
        <w:t>（二）项目所实现的主要绩效</w:t>
      </w:r>
      <w:bookmarkEnd w:id="10"/>
    </w:p>
    <w:p w14:paraId="6ACCE6DE">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0"/>
        <w:rPr>
          <w:rFonts w:hint="eastAsia" w:ascii="仿宋_GB2312" w:eastAsia="仿宋_GB2312"/>
          <w:sz w:val="28"/>
          <w:szCs w:val="28"/>
          <w:highlight w:val="none"/>
          <w:lang w:eastAsia="zh-CN"/>
        </w:rPr>
      </w:pPr>
      <w:bookmarkStart w:id="11" w:name="_Toc44343769"/>
      <w:r>
        <w:rPr>
          <w:rFonts w:hint="eastAsia" w:ascii="仿宋_GB2312" w:eastAsia="仿宋_GB2312"/>
          <w:sz w:val="28"/>
          <w:szCs w:val="28"/>
          <w:highlight w:val="none"/>
          <w:lang w:eastAsia="zh-CN"/>
        </w:rPr>
        <w:t>及时偿还债务，维护社会稳定，降低上访风险，提高经济发展，构建和谐社会。</w:t>
      </w:r>
    </w:p>
    <w:p w14:paraId="239E280C">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四、绩效评价分析</w:t>
      </w:r>
      <w:bookmarkEnd w:id="11"/>
    </w:p>
    <w:p w14:paraId="7E835A4D">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2" w:name="_Toc44343770"/>
      <w:r>
        <w:rPr>
          <w:rFonts w:hint="eastAsia" w:ascii="仿宋_GB2312" w:hAnsi="仿宋_GB2312" w:eastAsia="仿宋_GB2312" w:cs="仿宋"/>
          <w:b/>
          <w:sz w:val="28"/>
          <w:szCs w:val="28"/>
          <w:highlight w:val="none"/>
        </w:rPr>
        <w:t>（一）项目决策情况分析</w:t>
      </w:r>
      <w:bookmarkEnd w:id="12"/>
    </w:p>
    <w:p w14:paraId="2CD42106">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1.项目立项情况分析</w:t>
      </w:r>
    </w:p>
    <w:p w14:paraId="29B58F05">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highlight w:val="none"/>
        </w:rPr>
      </w:pPr>
      <w:r>
        <w:rPr>
          <w:rFonts w:hint="eastAsia" w:ascii="仿宋_GB2312" w:hAnsi="仿宋" w:eastAsia="仿宋_GB2312" w:cs="仿宋"/>
          <w:sz w:val="28"/>
          <w:szCs w:val="28"/>
          <w:highlight w:val="none"/>
        </w:rPr>
        <w:t>该项目立足于</w:t>
      </w:r>
      <w:r>
        <w:rPr>
          <w:rFonts w:hint="eastAsia" w:ascii="仿宋_GB2312" w:hAnsi="仿宋" w:eastAsia="仿宋_GB2312" w:cs="仿宋"/>
          <w:sz w:val="28"/>
          <w:szCs w:val="28"/>
          <w:highlight w:val="none"/>
          <w:lang w:eastAsia="zh-CN"/>
        </w:rPr>
        <w:t>玉田县提升城市风貌</w:t>
      </w:r>
      <w:r>
        <w:rPr>
          <w:rFonts w:hint="eastAsia" w:ascii="仿宋_GB2312" w:hAnsi="仿宋" w:eastAsia="仿宋_GB2312" w:cs="仿宋"/>
          <w:sz w:val="28"/>
          <w:szCs w:val="28"/>
          <w:highlight w:val="none"/>
        </w:rPr>
        <w:t>、稳定就业形势、促进地区发展的需求，依据</w:t>
      </w:r>
      <w:r>
        <w:rPr>
          <w:rFonts w:hint="eastAsia" w:ascii="仿宋_GB2312" w:eastAsia="仿宋_GB2312"/>
          <w:sz w:val="28"/>
          <w:szCs w:val="28"/>
          <w:highlight w:val="none"/>
          <w:lang w:eastAsia="zh-CN"/>
        </w:rPr>
        <w:t>玉田县提出“科创商贸名城，京东魅力玉田”</w:t>
      </w:r>
      <w:r>
        <w:rPr>
          <w:rFonts w:hint="eastAsia" w:ascii="仿宋_GB2312" w:eastAsia="仿宋_GB2312"/>
          <w:sz w:val="28"/>
          <w:szCs w:val="28"/>
          <w:highlight w:val="none"/>
        </w:rPr>
        <w:t>等</w:t>
      </w:r>
      <w:r>
        <w:rPr>
          <w:rFonts w:hint="eastAsia" w:ascii="仿宋_GB2312" w:hAnsi="仿宋" w:eastAsia="仿宋_GB2312" w:cs="仿宋"/>
          <w:sz w:val="28"/>
          <w:szCs w:val="28"/>
          <w:highlight w:val="none"/>
        </w:rPr>
        <w:t>政策文件的要求设立，具有明确的政策依据和一定的现实需求，且符合</w:t>
      </w:r>
      <w:r>
        <w:rPr>
          <w:rFonts w:hint="eastAsia" w:ascii="仿宋_GB2312" w:hAnsi="仿宋" w:eastAsia="仿宋_GB2312" w:cs="仿宋"/>
          <w:sz w:val="28"/>
          <w:szCs w:val="28"/>
          <w:highlight w:val="none"/>
          <w:lang w:eastAsia="zh-CN"/>
        </w:rPr>
        <w:t>玉田县创造文明城市的</w:t>
      </w:r>
      <w:r>
        <w:rPr>
          <w:rFonts w:hint="eastAsia" w:ascii="仿宋_GB2312" w:hAnsi="仿宋" w:eastAsia="仿宋_GB2312" w:cs="仿宋"/>
          <w:sz w:val="28"/>
          <w:szCs w:val="28"/>
          <w:highlight w:val="none"/>
        </w:rPr>
        <w:t>定位。</w:t>
      </w:r>
      <w:r>
        <w:rPr>
          <w:rFonts w:hint="eastAsia" w:ascii="仿宋_GB2312" w:eastAsia="仿宋_GB2312"/>
          <w:sz w:val="28"/>
          <w:szCs w:val="28"/>
          <w:highlight w:val="none"/>
        </w:rPr>
        <w:t>项目立项过程较为清晰，立项依据充分。</w:t>
      </w:r>
    </w:p>
    <w:p w14:paraId="2550E315">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2.项目目标设定情况分析</w:t>
      </w:r>
    </w:p>
    <w:p w14:paraId="4AAFD30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 w:eastAsia="仿宋_GB2312" w:cs="仿宋"/>
          <w:bCs/>
          <w:sz w:val="28"/>
          <w:szCs w:val="28"/>
          <w:highlight w:val="none"/>
        </w:rPr>
      </w:pPr>
      <w:r>
        <w:rPr>
          <w:rFonts w:hint="eastAsia" w:ascii="仿宋_GB2312" w:hAnsi="仿宋" w:eastAsia="仿宋_GB2312" w:cs="仿宋"/>
          <w:bCs/>
          <w:sz w:val="28"/>
          <w:szCs w:val="28"/>
          <w:highlight w:val="none"/>
          <w:lang w:eastAsia="zh-CN"/>
        </w:rPr>
        <w:t>财政局</w:t>
      </w:r>
      <w:r>
        <w:rPr>
          <w:rFonts w:hint="eastAsia" w:ascii="仿宋_GB2312" w:hAnsi="仿宋" w:eastAsia="仿宋_GB2312" w:cs="仿宋"/>
          <w:bCs/>
          <w:sz w:val="28"/>
          <w:szCs w:val="28"/>
          <w:highlight w:val="none"/>
        </w:rPr>
        <w:t>根据项目的具体实施内容设定总体绩效目标，并根据绩效目标细化分解了绩效指标，绩效指标设置量化程度较高，具有一定可衡量性。但整体绩效目标申报质量有待提高，主要体现在以下几点：</w:t>
      </w:r>
    </w:p>
    <w:p w14:paraId="448A93E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一是项目绩效目标仅对项目实施内容进行了阐述，未能明确项目预期效益。二是项目绩效指标未设置明确的产出质量、时效和成本指标，未设置相应的可持续影响指标、服务对象满意度指标等；且部分绩效指标与项目实施内容匹配度较低，绩效指标设置的合理性不足。</w:t>
      </w:r>
    </w:p>
    <w:p w14:paraId="0DFE3D5C">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3.项目资金投入情况分析</w:t>
      </w:r>
    </w:p>
    <w:p w14:paraId="24E88215">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sz w:val="28"/>
          <w:szCs w:val="28"/>
          <w:highlight w:val="none"/>
        </w:rPr>
      </w:pPr>
      <w:r>
        <w:rPr>
          <w:rFonts w:hint="eastAsia" w:ascii="仿宋_GB2312" w:eastAsia="仿宋_GB2312"/>
          <w:b/>
          <w:sz w:val="28"/>
          <w:szCs w:val="28"/>
          <w:highlight w:val="none"/>
        </w:rPr>
        <w:t>（1）预算编制</w:t>
      </w:r>
    </w:p>
    <w:p w14:paraId="26B02DD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该项目结合上年度资金的使用情况，</w:t>
      </w:r>
      <w:r>
        <w:rPr>
          <w:rFonts w:hint="eastAsia" w:ascii="仿宋_GB2312" w:eastAsia="仿宋_GB2312"/>
          <w:sz w:val="28"/>
          <w:szCs w:val="28"/>
          <w:highlight w:val="none"/>
          <w:lang w:eastAsia="zh-CN"/>
        </w:rPr>
        <w:t>对偿还债务的金额</w:t>
      </w:r>
      <w:r>
        <w:rPr>
          <w:rFonts w:hint="eastAsia" w:ascii="仿宋_GB2312" w:eastAsia="仿宋_GB2312"/>
          <w:sz w:val="28"/>
          <w:szCs w:val="28"/>
          <w:highlight w:val="none"/>
        </w:rPr>
        <w:t>进行测算，对预算资金支出方向和使用计划做了详细安排，预算编制较为细化、合理。</w:t>
      </w:r>
    </w:p>
    <w:p w14:paraId="49364E67">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eastAsia="仿宋_GB2312"/>
          <w:b/>
          <w:sz w:val="28"/>
          <w:szCs w:val="28"/>
          <w:highlight w:val="none"/>
        </w:rPr>
      </w:pPr>
      <w:r>
        <w:rPr>
          <w:rFonts w:hint="eastAsia" w:ascii="仿宋_GB2312" w:eastAsia="仿宋_GB2312"/>
          <w:b/>
          <w:sz w:val="28"/>
          <w:szCs w:val="28"/>
          <w:highlight w:val="none"/>
        </w:rPr>
        <w:t>（2）预算执行</w:t>
      </w:r>
    </w:p>
    <w:p w14:paraId="0E0371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hAnsi="仿宋_GB2312" w:eastAsia="仿宋_GB2312" w:cs="仿宋"/>
          <w:sz w:val="28"/>
          <w:szCs w:val="28"/>
          <w:highlight w:val="none"/>
        </w:rPr>
      </w:pPr>
      <w:r>
        <w:rPr>
          <w:rFonts w:hint="eastAsia" w:ascii="仿宋_GB2312" w:eastAsia="仿宋_GB2312"/>
          <w:sz w:val="28"/>
          <w:szCs w:val="28"/>
          <w:highlight w:val="none"/>
        </w:rPr>
        <w:t>该项目项目预算为</w:t>
      </w:r>
      <w:r>
        <w:rPr>
          <w:rFonts w:hint="eastAsia" w:eastAsia="仿宋_GB2312" w:cs="Times New Roman"/>
          <w:kern w:val="2"/>
          <w:sz w:val="28"/>
          <w:szCs w:val="28"/>
          <w:highlight w:val="none"/>
          <w:lang w:val="en-US" w:eastAsia="zh-CN"/>
        </w:rPr>
        <w:t>9000</w:t>
      </w:r>
      <w:r>
        <w:rPr>
          <w:rFonts w:hint="eastAsia" w:ascii="仿宋_GB2312" w:eastAsia="仿宋_GB2312"/>
          <w:sz w:val="28"/>
          <w:szCs w:val="28"/>
          <w:highlight w:val="none"/>
        </w:rPr>
        <w:t>万元。截至</w:t>
      </w:r>
      <w:r>
        <w:rPr>
          <w:rFonts w:hint="eastAsia" w:ascii="仿宋_GB2312" w:eastAsia="仿宋_GB2312"/>
          <w:sz w:val="28"/>
          <w:szCs w:val="28"/>
          <w:highlight w:val="none"/>
          <w:lang w:eastAsia="zh-CN"/>
        </w:rPr>
        <w:t>2023年</w:t>
      </w:r>
      <w:r>
        <w:rPr>
          <w:rFonts w:hint="eastAsia" w:ascii="仿宋_GB2312" w:eastAsia="仿宋_GB2312"/>
          <w:sz w:val="28"/>
          <w:szCs w:val="28"/>
          <w:highlight w:val="none"/>
        </w:rPr>
        <w:t>12月底，项目实际支出资金</w:t>
      </w:r>
      <w:r>
        <w:rPr>
          <w:rFonts w:hint="eastAsia" w:eastAsia="仿宋_GB2312" w:cs="Times New Roman"/>
          <w:kern w:val="2"/>
          <w:sz w:val="28"/>
          <w:szCs w:val="28"/>
          <w:highlight w:val="none"/>
          <w:lang w:val="en-US" w:eastAsia="zh-CN"/>
        </w:rPr>
        <w:t>9000</w:t>
      </w:r>
      <w:r>
        <w:rPr>
          <w:rFonts w:hint="eastAsia" w:ascii="仿宋_GB2312" w:eastAsia="仿宋_GB2312"/>
          <w:sz w:val="28"/>
          <w:szCs w:val="28"/>
          <w:highlight w:val="none"/>
        </w:rPr>
        <w:t>万元，预算执行率为</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w:t>
      </w:r>
      <w:r>
        <w:rPr>
          <w:rFonts w:hint="eastAsia" w:ascii="仿宋_GB2312" w:hAnsi="仿宋_GB2312" w:eastAsia="仿宋_GB2312" w:cs="仿宋"/>
          <w:sz w:val="28"/>
          <w:szCs w:val="28"/>
          <w:highlight w:val="none"/>
        </w:rPr>
        <w:t>由于实际申请</w:t>
      </w:r>
      <w:r>
        <w:rPr>
          <w:rFonts w:hint="eastAsia" w:ascii="仿宋_GB2312" w:hAnsi="仿宋_GB2312" w:eastAsia="仿宋_GB2312" w:cs="仿宋"/>
          <w:sz w:val="28"/>
          <w:szCs w:val="28"/>
          <w:highlight w:val="none"/>
          <w:lang w:eastAsia="zh-CN"/>
        </w:rPr>
        <w:t>单位</w:t>
      </w:r>
      <w:r>
        <w:rPr>
          <w:rFonts w:hint="eastAsia" w:ascii="仿宋_GB2312" w:hAnsi="仿宋_GB2312" w:eastAsia="仿宋_GB2312" w:cs="仿宋"/>
          <w:sz w:val="28"/>
          <w:szCs w:val="28"/>
          <w:highlight w:val="none"/>
        </w:rPr>
        <w:t>与计划</w:t>
      </w:r>
      <w:r>
        <w:rPr>
          <w:rFonts w:hint="eastAsia" w:ascii="仿宋_GB2312" w:hAnsi="仿宋_GB2312" w:eastAsia="仿宋_GB2312" w:cs="仿宋"/>
          <w:sz w:val="28"/>
          <w:szCs w:val="28"/>
          <w:highlight w:val="none"/>
          <w:lang w:eastAsia="zh-CN"/>
        </w:rPr>
        <w:t>单位</w:t>
      </w:r>
      <w:r>
        <w:rPr>
          <w:rFonts w:hint="eastAsia" w:ascii="仿宋_GB2312" w:hAnsi="仿宋_GB2312" w:eastAsia="仿宋_GB2312" w:cs="仿宋"/>
          <w:sz w:val="28"/>
          <w:szCs w:val="28"/>
          <w:highlight w:val="none"/>
        </w:rPr>
        <w:t>存在一定差异，导致项目预算实际执行资金与年初预算资金存在一定偏差，但项目整体预算执行情况较好。</w:t>
      </w:r>
      <w:bookmarkStart w:id="13" w:name="_Toc44343771"/>
    </w:p>
    <w:p w14:paraId="2AAC50BE">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（二）项目过程管理情况分析</w:t>
      </w:r>
      <w:bookmarkEnd w:id="13"/>
    </w:p>
    <w:p w14:paraId="0ED9C29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1.财务管理情况分析</w:t>
      </w:r>
    </w:p>
    <w:p w14:paraId="7274763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2023年玉田县农业农村局冀财债【2023】42号文2023年第七批政府债券玉田县农业人居环境综合整治项目</w:t>
      </w:r>
      <w:r>
        <w:rPr>
          <w:rFonts w:hint="eastAsia" w:ascii="仿宋_GB2312" w:eastAsia="仿宋_GB2312"/>
          <w:sz w:val="28"/>
          <w:szCs w:val="32"/>
          <w:highlight w:val="none"/>
        </w:rPr>
        <w:t>报告主要依据单位现有财务制度对项目财务支出进行规范，基本能满足项目财务管理要求。在</w:t>
      </w:r>
      <w:r>
        <w:rPr>
          <w:rFonts w:hint="eastAsia" w:ascii="仿宋_GB2312" w:hAnsi="仿宋" w:eastAsia="仿宋_GB2312" w:cs="仿宋"/>
          <w:sz w:val="28"/>
          <w:szCs w:val="28"/>
          <w:highlight w:val="none"/>
        </w:rPr>
        <w:t>项目实施过程中，项目资金存放在项目单位零余额账户，专款专用。</w:t>
      </w:r>
    </w:p>
    <w:p w14:paraId="734C28E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2.实施管理情况分析</w:t>
      </w:r>
    </w:p>
    <w:p w14:paraId="088A4F0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（1）项目管理制度健全性</w:t>
      </w:r>
    </w:p>
    <w:p w14:paraId="5AD4D6D9">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rPr>
        <w:t>在项目管理制度建设方面，</w:t>
      </w:r>
      <w:r>
        <w:rPr>
          <w:rFonts w:hint="eastAsia" w:ascii="仿宋_GB2312" w:eastAsia="仿宋_GB2312"/>
          <w:sz w:val="28"/>
          <w:szCs w:val="32"/>
          <w:highlight w:val="none"/>
          <w:lang w:eastAsia="zh-CN"/>
        </w:rPr>
        <w:t>2023年玉田县农业农村局冀财债【2023】42号文2023年第七批政府债券玉田县农业人居环境综合整治项目</w:t>
      </w:r>
      <w:r>
        <w:rPr>
          <w:rFonts w:hint="eastAsia" w:ascii="仿宋_GB2312" w:eastAsia="仿宋_GB2312"/>
          <w:sz w:val="28"/>
          <w:szCs w:val="32"/>
          <w:highlight w:val="none"/>
        </w:rPr>
        <w:t>报告主要</w:t>
      </w:r>
      <w:r>
        <w:rPr>
          <w:rFonts w:hint="eastAsia" w:ascii="仿宋_GB2312" w:eastAsia="仿宋_GB2312"/>
          <w:sz w:val="28"/>
          <w:szCs w:val="28"/>
          <w:highlight w:val="none"/>
        </w:rPr>
        <w:t>文件要求对项目进行管理，该文件对</w:t>
      </w:r>
      <w:r>
        <w:rPr>
          <w:rFonts w:hint="eastAsia" w:ascii="仿宋_GB2312" w:eastAsia="仿宋_GB2312"/>
          <w:sz w:val="28"/>
          <w:szCs w:val="32"/>
          <w:highlight w:val="none"/>
        </w:rPr>
        <w:t>资金</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对象、</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标准、</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期限、</w:t>
      </w:r>
      <w:r>
        <w:rPr>
          <w:rFonts w:hint="eastAsia" w:ascii="仿宋_GB2312" w:eastAsia="仿宋_GB2312"/>
          <w:sz w:val="28"/>
          <w:szCs w:val="32"/>
          <w:highlight w:val="none"/>
          <w:lang w:eastAsia="zh-CN"/>
        </w:rPr>
        <w:t>使用</w:t>
      </w:r>
      <w:r>
        <w:rPr>
          <w:rFonts w:hint="eastAsia" w:ascii="仿宋_GB2312" w:eastAsia="仿宋_GB2312"/>
          <w:sz w:val="28"/>
          <w:szCs w:val="32"/>
          <w:highlight w:val="none"/>
        </w:rPr>
        <w:t>申请和拨付、资金管理与监督等内容进行了明确。同时</w:t>
      </w:r>
      <w:r>
        <w:rPr>
          <w:rFonts w:hint="eastAsia" w:ascii="仿宋_GB2312" w:eastAsia="仿宋_GB2312"/>
          <w:sz w:val="28"/>
          <w:szCs w:val="32"/>
          <w:highlight w:val="none"/>
          <w:lang w:eastAsia="zh-CN"/>
        </w:rPr>
        <w:t>玉田县</w:t>
      </w:r>
      <w:r>
        <w:rPr>
          <w:rFonts w:hint="eastAsia" w:ascii="仿宋_GB2312" w:eastAsia="仿宋_GB2312"/>
          <w:sz w:val="28"/>
          <w:szCs w:val="28"/>
          <w:highlight w:val="none"/>
          <w:lang w:eastAsia="zh-CN"/>
        </w:rPr>
        <w:t>2023年玉田县农业农村局冀财债【2023】42号文2023年第七批政府债券玉田县农业人居环境综合整治项目</w:t>
      </w:r>
      <w:r>
        <w:rPr>
          <w:rFonts w:hint="eastAsia" w:ascii="仿宋_GB2312" w:eastAsia="仿宋_GB2312"/>
          <w:sz w:val="28"/>
          <w:szCs w:val="28"/>
          <w:highlight w:val="none"/>
        </w:rPr>
        <w:t>根据</w:t>
      </w:r>
      <w:r>
        <w:rPr>
          <w:rFonts w:hint="eastAsia" w:ascii="仿宋_GB2312" w:eastAsia="仿宋_GB2312"/>
          <w:sz w:val="28"/>
          <w:szCs w:val="28"/>
          <w:highlight w:val="none"/>
          <w:lang w:eastAsia="zh-CN"/>
        </w:rPr>
        <w:t>玉田县</w:t>
      </w:r>
      <w:r>
        <w:rPr>
          <w:rFonts w:hint="eastAsia" w:ascii="仿宋_GB2312" w:eastAsia="仿宋_GB2312"/>
          <w:sz w:val="28"/>
          <w:szCs w:val="28"/>
          <w:highlight w:val="none"/>
        </w:rPr>
        <w:t>实际情况对以上三类</w:t>
      </w:r>
      <w:r>
        <w:rPr>
          <w:rFonts w:hint="eastAsia" w:ascii="仿宋_GB2312" w:eastAsia="仿宋_GB2312"/>
          <w:sz w:val="28"/>
          <w:szCs w:val="28"/>
          <w:highlight w:val="none"/>
          <w:lang w:eastAsia="zh-CN"/>
        </w:rPr>
        <w:t>使用</w:t>
      </w:r>
      <w:r>
        <w:rPr>
          <w:rFonts w:hint="eastAsia" w:ascii="仿宋_GB2312" w:eastAsia="仿宋_GB2312"/>
          <w:sz w:val="28"/>
          <w:szCs w:val="28"/>
          <w:highlight w:val="none"/>
        </w:rPr>
        <w:t>的具体</w:t>
      </w:r>
      <w:r>
        <w:rPr>
          <w:rFonts w:hint="eastAsia" w:ascii="仿宋_GB2312" w:eastAsia="仿宋_GB2312"/>
          <w:sz w:val="28"/>
          <w:szCs w:val="28"/>
          <w:highlight w:val="none"/>
          <w:lang w:eastAsia="zh-CN"/>
        </w:rPr>
        <w:t>使用</w:t>
      </w:r>
      <w:r>
        <w:rPr>
          <w:rFonts w:hint="eastAsia" w:ascii="仿宋_GB2312" w:eastAsia="仿宋_GB2312"/>
          <w:sz w:val="28"/>
          <w:szCs w:val="28"/>
          <w:highlight w:val="none"/>
        </w:rPr>
        <w:t>标准做了详细规定。相关</w:t>
      </w:r>
      <w:r>
        <w:rPr>
          <w:rFonts w:hint="eastAsia" w:ascii="仿宋_GB2312" w:eastAsia="仿宋_GB2312"/>
          <w:sz w:val="28"/>
          <w:szCs w:val="32"/>
          <w:highlight w:val="none"/>
        </w:rPr>
        <w:t>项目管理制度健全、可操作性较强。</w:t>
      </w:r>
    </w:p>
    <w:p w14:paraId="01F142B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val="en-US" w:eastAsia="zh-CN"/>
        </w:rPr>
        <w:t>2</w:t>
      </w:r>
      <w:r>
        <w:rPr>
          <w:rFonts w:hint="eastAsia" w:ascii="仿宋_GB2312" w:hAnsi="仿宋_GB2312" w:eastAsia="仿宋_GB2312" w:cs="仿宋"/>
          <w:b/>
          <w:sz w:val="28"/>
          <w:szCs w:val="28"/>
          <w:highlight w:val="none"/>
        </w:rPr>
        <w:t>）项目质量可控性</w:t>
      </w:r>
    </w:p>
    <w:p w14:paraId="768315F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32"/>
          <w:highlight w:val="none"/>
          <w:lang w:eastAsia="zh-CN"/>
        </w:rPr>
      </w:pPr>
      <w:r>
        <w:rPr>
          <w:rFonts w:hint="eastAsia" w:ascii="仿宋_GB2312" w:eastAsia="仿宋_GB2312"/>
          <w:sz w:val="28"/>
          <w:szCs w:val="32"/>
          <w:highlight w:val="none"/>
        </w:rPr>
        <w:t>在项目实施过程中，</w:t>
      </w:r>
      <w:r>
        <w:rPr>
          <w:rFonts w:hint="eastAsia" w:ascii="仿宋_GB2312" w:eastAsia="仿宋_GB2312"/>
          <w:sz w:val="28"/>
          <w:szCs w:val="32"/>
          <w:highlight w:val="none"/>
          <w:lang w:eastAsia="zh-CN"/>
        </w:rPr>
        <w:t>玉田县农业农村局</w:t>
      </w:r>
      <w:r>
        <w:rPr>
          <w:rFonts w:hint="eastAsia" w:ascii="仿宋_GB2312" w:eastAsia="仿宋_GB2312"/>
          <w:sz w:val="28"/>
          <w:szCs w:val="32"/>
          <w:highlight w:val="none"/>
        </w:rPr>
        <w:t>通过规范项目决策流程、严格审核</w:t>
      </w:r>
      <w:r>
        <w:rPr>
          <w:rFonts w:hint="eastAsia" w:ascii="仿宋_GB2312" w:eastAsia="仿宋_GB2312"/>
          <w:sz w:val="28"/>
          <w:szCs w:val="32"/>
          <w:highlight w:val="none"/>
          <w:lang w:eastAsia="zh-CN"/>
        </w:rPr>
        <w:t>承建单位</w:t>
      </w:r>
      <w:r>
        <w:rPr>
          <w:rFonts w:hint="eastAsia" w:ascii="仿宋_GB2312" w:eastAsia="仿宋_GB2312"/>
          <w:sz w:val="28"/>
          <w:szCs w:val="32"/>
          <w:highlight w:val="none"/>
        </w:rPr>
        <w:t>资质、及时公示资金使用情况等方式，</w:t>
      </w:r>
      <w:r>
        <w:rPr>
          <w:rFonts w:hint="eastAsia" w:ascii="仿宋_GB2312" w:hAnsi="仿宋_GB2312" w:eastAsia="仿宋_GB2312" w:cs="仿宋"/>
          <w:sz w:val="28"/>
          <w:szCs w:val="28"/>
          <w:highlight w:val="none"/>
        </w:rPr>
        <w:t>严格控制项目实施质量，</w:t>
      </w:r>
      <w:r>
        <w:rPr>
          <w:rFonts w:hint="eastAsia" w:ascii="仿宋_GB2312" w:eastAsia="仿宋_GB2312"/>
          <w:sz w:val="28"/>
          <w:szCs w:val="32"/>
          <w:highlight w:val="none"/>
        </w:rPr>
        <w:t>降低项目实施风险。同时</w:t>
      </w:r>
      <w:r>
        <w:rPr>
          <w:rFonts w:hint="eastAsia" w:ascii="仿宋_GB2312" w:eastAsia="仿宋_GB2312"/>
          <w:sz w:val="28"/>
          <w:szCs w:val="32"/>
          <w:highlight w:val="none"/>
          <w:lang w:eastAsia="zh-CN"/>
        </w:rPr>
        <w:t>玉田县农业农村局</w:t>
      </w:r>
      <w:r>
        <w:rPr>
          <w:rFonts w:hint="eastAsia" w:ascii="仿宋_GB2312" w:eastAsia="仿宋_GB2312"/>
          <w:sz w:val="28"/>
          <w:szCs w:val="32"/>
          <w:highlight w:val="none"/>
        </w:rPr>
        <w:t>采取了一定措施对项目实施过程进行监督管理</w:t>
      </w:r>
      <w:r>
        <w:rPr>
          <w:rFonts w:hint="eastAsia" w:ascii="仿宋_GB2312" w:eastAsia="仿宋_GB2312"/>
          <w:sz w:val="28"/>
          <w:szCs w:val="32"/>
          <w:highlight w:val="none"/>
          <w:lang w:eastAsia="zh-CN"/>
        </w:rPr>
        <w:t>。</w:t>
      </w:r>
    </w:p>
    <w:p w14:paraId="31F2A269">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4" w:name="_Toc44343773"/>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eastAsia="zh-CN"/>
        </w:rPr>
        <w:t>三</w:t>
      </w:r>
      <w:r>
        <w:rPr>
          <w:rFonts w:hint="eastAsia" w:ascii="仿宋_GB2312" w:hAnsi="仿宋_GB2312" w:eastAsia="仿宋_GB2312" w:cs="仿宋"/>
          <w:b/>
          <w:sz w:val="28"/>
          <w:szCs w:val="28"/>
          <w:highlight w:val="none"/>
        </w:rPr>
        <w:t>）项目效益实现情况分析</w:t>
      </w:r>
      <w:bookmarkEnd w:id="14"/>
    </w:p>
    <w:p w14:paraId="626411B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cs="仿宋"/>
          <w:bCs/>
          <w:sz w:val="28"/>
          <w:szCs w:val="28"/>
          <w:highlight w:val="none"/>
        </w:rPr>
      </w:pPr>
      <w:r>
        <w:rPr>
          <w:rFonts w:hint="eastAsia" w:ascii="仿宋_GB2312" w:hAnsi="仿宋_GB2312" w:eastAsia="仿宋_GB2312" w:cs="仿宋"/>
          <w:bCs/>
          <w:sz w:val="28"/>
          <w:szCs w:val="28"/>
          <w:highlight w:val="none"/>
        </w:rPr>
        <w:t>本次绩效评价通过</w:t>
      </w:r>
      <w:r>
        <w:rPr>
          <w:rFonts w:hint="eastAsia" w:ascii="仿宋_GB2312" w:hAnsi="仿宋_GB2312" w:eastAsia="仿宋_GB2312" w:cs="仿宋"/>
          <w:bCs/>
          <w:sz w:val="28"/>
          <w:szCs w:val="28"/>
          <w:highlight w:val="none"/>
          <w:lang w:eastAsia="zh-CN"/>
        </w:rPr>
        <w:t>玉田县农业农村局</w:t>
      </w:r>
      <w:r>
        <w:rPr>
          <w:rFonts w:hint="eastAsia" w:ascii="仿宋_GB2312" w:hAnsi="仿宋_GB2312" w:eastAsia="仿宋_GB2312" w:cs="仿宋"/>
          <w:bCs/>
          <w:sz w:val="28"/>
          <w:szCs w:val="28"/>
          <w:highlight w:val="none"/>
        </w:rPr>
        <w:t>提供的项目资料，结合评价工作组进行的问卷调查结果，分析项目总体实施效益，具体如下：</w:t>
      </w:r>
    </w:p>
    <w:p w14:paraId="46EECF4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1.社会效益</w:t>
      </w:r>
    </w:p>
    <w:p w14:paraId="030C3F9E">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
          <w:b/>
          <w:sz w:val="28"/>
          <w:szCs w:val="28"/>
          <w:highlight w:val="none"/>
          <w:lang w:eastAsia="zh-CN"/>
        </w:rPr>
      </w:pPr>
      <w:r>
        <w:rPr>
          <w:rFonts w:hint="eastAsia" w:ascii="仿宋_GB2312" w:hAnsi="仿宋_GB2312" w:eastAsia="仿宋_GB2312" w:cs="仿宋"/>
          <w:b/>
          <w:sz w:val="28"/>
          <w:szCs w:val="28"/>
          <w:highlight w:val="none"/>
        </w:rPr>
        <w:t>（1）</w:t>
      </w:r>
      <w:r>
        <w:rPr>
          <w:rFonts w:hint="eastAsia" w:ascii="仿宋_GB2312" w:hAnsi="仿宋_GB2312" w:eastAsia="仿宋_GB2312" w:cs="仿宋"/>
          <w:b/>
          <w:sz w:val="28"/>
          <w:szCs w:val="28"/>
          <w:highlight w:val="none"/>
          <w:lang w:eastAsia="zh-CN"/>
        </w:rPr>
        <w:t>促进社会稳定</w:t>
      </w:r>
    </w:p>
    <w:p w14:paraId="6F93BBD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 w:eastAsia="仿宋_GB2312"/>
          <w:sz w:val="28"/>
          <w:szCs w:val="28"/>
          <w:highlight w:val="none"/>
          <w:lang w:eastAsia="zh-CN"/>
        </w:rPr>
      </w:pPr>
      <w:r>
        <w:rPr>
          <w:rFonts w:hint="eastAsia" w:ascii="仿宋_GB2312" w:hAnsi="仿宋" w:eastAsia="仿宋_GB2312"/>
          <w:sz w:val="28"/>
          <w:szCs w:val="28"/>
          <w:highlight w:val="none"/>
          <w:lang w:eastAsia="zh-CN"/>
        </w:rPr>
        <w:t>本项目实施将打造优质承接平台，进一步夯实玉田县印机产业基础，按照“长短结合、多点支撑”要求，以精准利益联结为核心，进一步健全完善产业支撑体系；围绕提升开发区综合承载能力，完善园区基础设施，提升建设运营水平，有力推动玉田县创新发展、绿色发展、高质量发展。</w:t>
      </w:r>
    </w:p>
    <w:p w14:paraId="4B3CC72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w:t>
      </w:r>
      <w:r>
        <w:rPr>
          <w:rFonts w:hint="eastAsia" w:ascii="仿宋_GB2312" w:hAnsi="仿宋_GB2312" w:eastAsia="仿宋_GB2312" w:cs="仿宋"/>
          <w:b/>
          <w:sz w:val="28"/>
          <w:szCs w:val="28"/>
          <w:highlight w:val="none"/>
          <w:lang w:val="en-US" w:eastAsia="zh-CN"/>
        </w:rPr>
        <w:t>2</w:t>
      </w:r>
      <w:r>
        <w:rPr>
          <w:rFonts w:hint="eastAsia" w:ascii="仿宋_GB2312" w:hAnsi="仿宋_GB2312" w:eastAsia="仿宋_GB2312" w:cs="仿宋"/>
          <w:b/>
          <w:sz w:val="28"/>
          <w:szCs w:val="28"/>
          <w:highlight w:val="none"/>
        </w:rPr>
        <w:t>）受众满意度较高</w:t>
      </w:r>
    </w:p>
    <w:p w14:paraId="1B6DAD3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32"/>
          <w:highlight w:val="none"/>
        </w:rPr>
      </w:pPr>
      <w:r>
        <w:rPr>
          <w:rFonts w:hint="eastAsia" w:ascii="仿宋_GB2312" w:eastAsia="仿宋_GB2312"/>
          <w:sz w:val="28"/>
          <w:szCs w:val="32"/>
          <w:highlight w:val="none"/>
          <w:lang w:eastAsia="zh-CN"/>
        </w:rPr>
        <w:t>及时偿还债务，保障经费笔笔可视，保障各项项目经费及时拨付到位。</w:t>
      </w:r>
    </w:p>
    <w:p w14:paraId="34936CEE">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0"/>
        <w:rPr>
          <w:rFonts w:ascii="仿宋_GB2312" w:hAnsi="仿宋_GB2312" w:eastAsia="仿宋_GB2312" w:cs="仿宋"/>
          <w:b/>
          <w:sz w:val="28"/>
          <w:szCs w:val="28"/>
          <w:highlight w:val="none"/>
        </w:rPr>
      </w:pPr>
      <w:bookmarkStart w:id="15" w:name="_Toc44343774"/>
      <w:r>
        <w:rPr>
          <w:rFonts w:hint="eastAsia" w:ascii="仿宋_GB2312" w:hAnsi="仿宋_GB2312" w:eastAsia="仿宋_GB2312" w:cs="仿宋"/>
          <w:b/>
          <w:sz w:val="28"/>
          <w:szCs w:val="28"/>
          <w:highlight w:val="none"/>
        </w:rPr>
        <w:t>五、存在的主要问题及相关建议</w:t>
      </w:r>
      <w:bookmarkEnd w:id="15"/>
    </w:p>
    <w:p w14:paraId="587EF059">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6" w:name="_Toc44343775"/>
      <w:r>
        <w:rPr>
          <w:rFonts w:hint="eastAsia" w:ascii="仿宋_GB2312" w:hAnsi="仿宋_GB2312" w:eastAsia="仿宋_GB2312" w:cs="仿宋"/>
          <w:b/>
          <w:sz w:val="28"/>
          <w:szCs w:val="28"/>
          <w:highlight w:val="none"/>
        </w:rPr>
        <w:t>（一）存在的主要问题</w:t>
      </w:r>
      <w:bookmarkEnd w:id="16"/>
    </w:p>
    <w:p w14:paraId="5A66E078">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1.绩效目标管理意识不足，绩效目标及指标填报质量有待提高</w:t>
      </w:r>
    </w:p>
    <w:p w14:paraId="5133DC1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 w:eastAsia="仿宋_GB2312" w:cs="仿宋"/>
          <w:sz w:val="28"/>
          <w:szCs w:val="28"/>
          <w:highlight w:val="none"/>
          <w:lang w:eastAsia="zh-CN"/>
        </w:rPr>
      </w:pPr>
      <w:r>
        <w:rPr>
          <w:rFonts w:hint="eastAsia" w:ascii="仿宋_GB2312" w:hAnsi="仿宋" w:eastAsia="仿宋_GB2312" w:cs="仿宋"/>
          <w:bCs/>
          <w:sz w:val="28"/>
          <w:szCs w:val="28"/>
          <w:highlight w:val="none"/>
        </w:rPr>
        <w:t>一是项目绩效目标填写不够完整，目标内容不够合理。该项目年度绩效目标仅对项目实施内容进行了阐述，未能明确项目预期效益。同时项目总体产出目标的阐述不够全面，未能覆盖所有事项，且产出目标值与实际完成值差异较大</w:t>
      </w:r>
      <w:r>
        <w:rPr>
          <w:rFonts w:hint="eastAsia" w:ascii="仿宋_GB2312" w:hAnsi="仿宋" w:eastAsia="仿宋_GB2312" w:cs="仿宋"/>
          <w:bCs/>
          <w:sz w:val="28"/>
          <w:szCs w:val="28"/>
          <w:highlight w:val="none"/>
          <w:lang w:eastAsia="zh-CN"/>
        </w:rPr>
        <w:t>。</w:t>
      </w:r>
    </w:p>
    <w:p w14:paraId="6422BEFC">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 w:eastAsia="仿宋_GB2312" w:cs="仿宋"/>
          <w:bCs/>
          <w:sz w:val="28"/>
          <w:szCs w:val="28"/>
          <w:highlight w:val="none"/>
          <w:lang w:eastAsia="zh-CN"/>
        </w:rPr>
      </w:pPr>
      <w:r>
        <w:rPr>
          <w:rFonts w:hint="eastAsia" w:ascii="仿宋_GB2312" w:hAnsi="仿宋" w:eastAsia="仿宋_GB2312" w:cs="仿宋"/>
          <w:bCs/>
          <w:sz w:val="28"/>
          <w:szCs w:val="28"/>
          <w:highlight w:val="none"/>
        </w:rPr>
        <w:t>二是项目绩效指标设置完整性、合理性不足。项目单位未针对项目产出目标设置明确的产出质量、时效和成本指标，</w:t>
      </w:r>
      <w:r>
        <w:rPr>
          <w:rFonts w:hint="eastAsia" w:ascii="仿宋_GB2312" w:hAnsi="仿宋_GB2312" w:eastAsia="仿宋_GB2312" w:cs="仿宋"/>
          <w:color w:val="000000" w:themeColor="text1"/>
          <w:sz w:val="28"/>
          <w:szCs w:val="28"/>
          <w:highlight w:val="none"/>
          <w14:textFill>
            <w14:solidFill>
              <w14:schemeClr w14:val="tx1"/>
            </w14:solidFill>
          </w14:textFill>
        </w:rPr>
        <w:t>未依据项目实施效果，设置相应的</w:t>
      </w:r>
      <w:r>
        <w:rPr>
          <w:rFonts w:hint="eastAsia" w:ascii="仿宋_GB2312" w:hAnsi="仿宋" w:eastAsia="仿宋_GB2312" w:cs="仿宋"/>
          <w:bCs/>
          <w:sz w:val="28"/>
          <w:szCs w:val="28"/>
          <w:highlight w:val="none"/>
        </w:rPr>
        <w:t>可持续影响指标、服务对象满意度指标等</w:t>
      </w:r>
      <w:r>
        <w:rPr>
          <w:rFonts w:hint="eastAsia" w:ascii="仿宋_GB2312" w:hAnsi="仿宋" w:eastAsia="仿宋_GB2312" w:cs="仿宋"/>
          <w:bCs/>
          <w:sz w:val="28"/>
          <w:szCs w:val="28"/>
          <w:highlight w:val="none"/>
          <w:lang w:eastAsia="zh-CN"/>
        </w:rPr>
        <w:t>。</w:t>
      </w:r>
    </w:p>
    <w:p w14:paraId="3C203B33">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2.资格审核机制存在漏洞，审核及时性有待加强</w:t>
      </w:r>
    </w:p>
    <w:p w14:paraId="4814064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32"/>
          <w:highlight w:val="none"/>
          <w:lang w:eastAsia="zh-CN"/>
        </w:rPr>
      </w:pPr>
      <w:r>
        <w:rPr>
          <w:rFonts w:hint="eastAsia" w:ascii="仿宋_GB2312" w:eastAsia="仿宋_GB2312"/>
          <w:sz w:val="28"/>
          <w:szCs w:val="32"/>
          <w:highlight w:val="none"/>
        </w:rPr>
        <w:t>一是资格审核机制存在一定的漏洞，存在超范围发放补贴的情况</w:t>
      </w:r>
      <w:r>
        <w:rPr>
          <w:rFonts w:hint="eastAsia" w:ascii="仿宋_GB2312" w:eastAsia="仿宋_GB2312"/>
          <w:sz w:val="28"/>
          <w:szCs w:val="32"/>
          <w:highlight w:val="none"/>
          <w:lang w:eastAsia="zh-CN"/>
        </w:rPr>
        <w:t>。</w:t>
      </w:r>
    </w:p>
    <w:p w14:paraId="695380B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eastAsia="仿宋_GB2312"/>
          <w:sz w:val="28"/>
          <w:szCs w:val="32"/>
          <w:highlight w:val="none"/>
        </w:rPr>
        <w:t>二是部分审核时长超过规定时限，审核及时性有待加强。</w:t>
      </w:r>
    </w:p>
    <w:p w14:paraId="64BD0850">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1"/>
        <w:rPr>
          <w:rFonts w:ascii="仿宋_GB2312" w:hAnsi="仿宋_GB2312" w:eastAsia="仿宋_GB2312" w:cs="仿宋"/>
          <w:b/>
          <w:sz w:val="28"/>
          <w:szCs w:val="28"/>
          <w:highlight w:val="none"/>
        </w:rPr>
      </w:pPr>
      <w:bookmarkStart w:id="17" w:name="_Toc44343776"/>
      <w:r>
        <w:rPr>
          <w:rFonts w:hint="eastAsia" w:ascii="仿宋_GB2312" w:hAnsi="仿宋_GB2312" w:eastAsia="仿宋_GB2312" w:cs="仿宋"/>
          <w:b/>
          <w:sz w:val="28"/>
          <w:szCs w:val="28"/>
          <w:highlight w:val="none"/>
        </w:rPr>
        <w:t>（二）相关建议</w:t>
      </w:r>
      <w:bookmarkEnd w:id="17"/>
    </w:p>
    <w:p w14:paraId="3D3C0200">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b/>
          <w:sz w:val="28"/>
          <w:szCs w:val="28"/>
          <w:highlight w:val="none"/>
        </w:rPr>
      </w:pPr>
      <w:r>
        <w:rPr>
          <w:rFonts w:hint="eastAsia" w:ascii="仿宋_GB2312" w:hAnsi="仿宋_GB2312" w:eastAsia="仿宋_GB2312"/>
          <w:b/>
          <w:sz w:val="28"/>
          <w:szCs w:val="28"/>
          <w:highlight w:val="none"/>
        </w:rPr>
        <w:t>1.加强绩效目标管理，强化项目绩效约束</w:t>
      </w:r>
    </w:p>
    <w:p w14:paraId="7150AFD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建议</w:t>
      </w:r>
      <w:r>
        <w:rPr>
          <w:rFonts w:hint="eastAsia" w:ascii="仿宋_GB2312" w:hAnsi="仿宋_GB2312" w:eastAsia="仿宋_GB2312"/>
          <w:sz w:val="28"/>
          <w:szCs w:val="28"/>
          <w:highlight w:val="none"/>
          <w:lang w:eastAsia="zh-CN"/>
        </w:rPr>
        <w:t>玉田县农业农村局</w:t>
      </w:r>
      <w:r>
        <w:rPr>
          <w:rFonts w:hint="eastAsia" w:ascii="仿宋_GB2312" w:hAnsi="仿宋_GB2312" w:eastAsia="仿宋_GB2312"/>
          <w:sz w:val="28"/>
          <w:szCs w:val="28"/>
          <w:highlight w:val="none"/>
        </w:rPr>
        <w:t>强化目标管理意识，按照财政支出绩效管理工作相关要求，及时、规范、科学地填报绩效目标申报表，结合项目内容科学合理设定绩效目标，细化量化绩效指标，提高绩效目标申报质量，充分发挥绩效目标及指标的导向作用。</w:t>
      </w:r>
    </w:p>
    <w:p w14:paraId="3C7FB5F3">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b/>
          <w:sz w:val="28"/>
          <w:szCs w:val="28"/>
          <w:highlight w:val="none"/>
        </w:rPr>
      </w:pPr>
      <w:r>
        <w:rPr>
          <w:rFonts w:hint="eastAsia" w:ascii="仿宋_GB2312" w:hAnsi="仿宋_GB2312" w:eastAsia="仿宋_GB2312"/>
          <w:b/>
          <w:sz w:val="28"/>
          <w:szCs w:val="28"/>
          <w:highlight w:val="none"/>
        </w:rPr>
        <w:t>2.完善资格审核机制，提升资格审核及时性</w:t>
      </w:r>
    </w:p>
    <w:p w14:paraId="0EFEB7E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建议</w:t>
      </w:r>
      <w:r>
        <w:rPr>
          <w:rFonts w:hint="eastAsia" w:ascii="仿宋_GB2312" w:hAnsi="仿宋_GB2312" w:eastAsia="仿宋_GB2312"/>
          <w:sz w:val="28"/>
          <w:szCs w:val="28"/>
          <w:highlight w:val="none"/>
          <w:lang w:eastAsia="zh-CN"/>
        </w:rPr>
        <w:t>玉田县农业农村局</w:t>
      </w:r>
      <w:r>
        <w:rPr>
          <w:rFonts w:hint="eastAsia" w:ascii="仿宋_GB2312" w:hAnsi="仿宋_GB2312" w:eastAsia="仿宋_GB2312"/>
          <w:sz w:val="28"/>
          <w:szCs w:val="28"/>
          <w:highlight w:val="none"/>
        </w:rPr>
        <w:t>严把资格审核关，完善资格审核机制，严格按照资金管理办法规定的审核内容，进行逐项审核，确保所有信息审核到位，避免遗漏和出错，提升资格审核的规范性和准确性。</w:t>
      </w:r>
    </w:p>
    <w:p w14:paraId="349CEFA3">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_GB2312" w:hAnsi="仿宋_GB2312" w:eastAsia="仿宋_GB2312" w:cs="仿宋"/>
          <w:b/>
          <w:sz w:val="28"/>
          <w:szCs w:val="28"/>
          <w:highlight w:val="none"/>
        </w:rPr>
      </w:pPr>
      <w:r>
        <w:rPr>
          <w:rFonts w:hint="eastAsia" w:ascii="仿宋_GB2312" w:hAnsi="仿宋_GB2312" w:eastAsia="仿宋_GB2312" w:cs="仿宋"/>
          <w:b/>
          <w:sz w:val="28"/>
          <w:szCs w:val="28"/>
          <w:highlight w:val="none"/>
        </w:rPr>
        <w:t>3.加强项目过程控制，提高项目管理水平</w:t>
      </w:r>
    </w:p>
    <w:p w14:paraId="34DA6DC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仿宋_GB2312" w:hAnsi="仿宋_GB2312" w:eastAsia="仿宋_GB2312"/>
          <w:sz w:val="28"/>
          <w:szCs w:val="28"/>
          <w:highlight w:val="none"/>
        </w:rPr>
      </w:pPr>
      <w:r>
        <w:rPr>
          <w:rFonts w:hint="eastAsia" w:ascii="仿宋_GB2312" w:hAnsi="仿宋_GB2312" w:eastAsia="仿宋_GB2312"/>
          <w:sz w:val="28"/>
          <w:szCs w:val="28"/>
          <w:highlight w:val="none"/>
        </w:rPr>
        <w:t>一是规范财务管理，对</w:t>
      </w:r>
      <w:r>
        <w:rPr>
          <w:rFonts w:hint="eastAsia" w:ascii="仿宋_GB2312" w:hAnsi="仿宋_GB2312" w:eastAsia="仿宋_GB2312"/>
          <w:sz w:val="28"/>
          <w:szCs w:val="28"/>
          <w:highlight w:val="none"/>
          <w:lang w:eastAsia="zh-CN"/>
        </w:rPr>
        <w:t>此类资金</w:t>
      </w:r>
      <w:r>
        <w:rPr>
          <w:rFonts w:hint="eastAsia" w:ascii="仿宋_GB2312" w:hAnsi="仿宋_GB2312" w:eastAsia="仿宋_GB2312"/>
          <w:sz w:val="28"/>
          <w:szCs w:val="28"/>
          <w:highlight w:val="none"/>
        </w:rPr>
        <w:t>单独核算，严格执行国家财务制度和会计制度，确保就业创业资金专款专用。</w:t>
      </w:r>
    </w:p>
    <w:p w14:paraId="59FC4BB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highlight w:val="none"/>
        </w:rPr>
      </w:pPr>
      <w:r>
        <w:rPr>
          <w:rFonts w:hint="eastAsia" w:ascii="仿宋_GB2312" w:hAnsi="仿宋_GB2312" w:eastAsia="仿宋_GB2312"/>
          <w:sz w:val="28"/>
          <w:szCs w:val="28"/>
          <w:highlight w:val="none"/>
        </w:rPr>
        <w:t>二是建立健全项目跟踪管理机制，将入户走访、重点抽查、电话回访等纳入工作常态化，全面了解</w:t>
      </w:r>
      <w:r>
        <w:rPr>
          <w:rFonts w:hint="eastAsia" w:ascii="仿宋_GB2312" w:hAnsi="仿宋_GB2312" w:eastAsia="仿宋_GB2312"/>
          <w:sz w:val="28"/>
          <w:szCs w:val="28"/>
          <w:highlight w:val="none"/>
          <w:lang w:eastAsia="zh-CN"/>
        </w:rPr>
        <w:t>执法车使用者满意度</w:t>
      </w:r>
      <w:r>
        <w:rPr>
          <w:rFonts w:hint="eastAsia" w:ascii="仿宋_GB2312" w:hAnsi="仿宋_GB2312" w:eastAsia="仿宋_GB2312"/>
          <w:sz w:val="28"/>
          <w:szCs w:val="28"/>
          <w:highlight w:val="none"/>
        </w:rPr>
        <w:t xml:space="preserve">情况的反馈并收集对项目实施的相关意见与建议，及时完善和改进项目实施方式，优化工作流程，提升项目服务质量。 </w:t>
      </w:r>
    </w:p>
    <w:sectPr>
      <w:pgSz w:w="11900" w:h="16840"/>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书宋_GBK">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271446"/>
      <w:docPartObj>
        <w:docPartGallery w:val="autotext"/>
      </w:docPartObj>
    </w:sdtPr>
    <w:sdtContent>
      <w:p w14:paraId="14BDF370">
        <w:pPr>
          <w:pStyle w:val="3"/>
          <w:jc w:val="center"/>
        </w:pPr>
      </w:p>
    </w:sdtContent>
  </w:sdt>
  <w:p w14:paraId="31EA788A">
    <w:pPr>
      <w:pStyle w:val="3"/>
      <w:jc w:val="center"/>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1257637499"/>
      <w:docPartObj>
        <w:docPartGallery w:val="autotext"/>
      </w:docPartObj>
    </w:sdtPr>
    <w:sdtEndPr>
      <w:rPr>
        <w:rStyle w:val="9"/>
      </w:rPr>
    </w:sdtEndPr>
    <w:sdtContent>
      <w:p w14:paraId="03726B0B">
        <w:pPr>
          <w:pStyle w:val="3"/>
          <w:framePr w:wrap="around" w:vAnchor="text" w:hAnchor="margin" w:xAlign="center" w:y="1"/>
          <w:rPr>
            <w:rStyle w:val="9"/>
          </w:rPr>
        </w:pPr>
        <w:r>
          <w:rPr>
            <w:rStyle w:val="9"/>
          </w:rPr>
          <w:fldChar w:fldCharType="begin"/>
        </w:r>
        <w:r>
          <w:rPr>
            <w:rStyle w:val="9"/>
          </w:rPr>
          <w:instrText xml:space="preserve"> PAGE </w:instrText>
        </w:r>
        <w:r>
          <w:rPr>
            <w:rStyle w:val="9"/>
          </w:rPr>
          <w:fldChar w:fldCharType="end"/>
        </w:r>
      </w:p>
    </w:sdtContent>
  </w:sdt>
  <w:p w14:paraId="26337FA2">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1446375322"/>
      <w:docPartObj>
        <w:docPartGallery w:val="autotext"/>
      </w:docPartObj>
    </w:sdtPr>
    <w:sdtEndPr>
      <w:rPr>
        <w:rStyle w:val="9"/>
        <w:rFonts w:ascii="Calibri" w:hAnsi="Calibri"/>
      </w:rPr>
    </w:sdtEndPr>
    <w:sdtContent>
      <w:p w14:paraId="62591570">
        <w:pPr>
          <w:pStyle w:val="3"/>
          <w:framePr w:wrap="around" w:vAnchor="text" w:hAnchor="margin" w:xAlign="center" w:y="1"/>
          <w:rPr>
            <w:rStyle w:val="9"/>
            <w:rFonts w:ascii="Calibri" w:hAnsi="Calibri"/>
          </w:rPr>
        </w:pPr>
        <w:r>
          <w:rPr>
            <w:rStyle w:val="9"/>
            <w:rFonts w:ascii="Calibri" w:hAnsi="Calibri"/>
          </w:rPr>
          <w:fldChar w:fldCharType="begin"/>
        </w:r>
        <w:r>
          <w:rPr>
            <w:rStyle w:val="9"/>
            <w:rFonts w:ascii="Calibri" w:hAnsi="Calibri"/>
          </w:rPr>
          <w:instrText xml:space="preserve"> PAGE </w:instrText>
        </w:r>
        <w:r>
          <w:rPr>
            <w:rStyle w:val="9"/>
            <w:rFonts w:ascii="Calibri" w:hAnsi="Calibri"/>
          </w:rPr>
          <w:fldChar w:fldCharType="separate"/>
        </w:r>
        <w:r>
          <w:rPr>
            <w:rStyle w:val="9"/>
            <w:rFonts w:ascii="Calibri" w:hAnsi="Calibri"/>
          </w:rPr>
          <w:t>18</w:t>
        </w:r>
        <w:r>
          <w:rPr>
            <w:rStyle w:val="9"/>
            <w:rFonts w:ascii="Calibri" w:hAnsi="Calibri"/>
          </w:rPr>
          <w:fldChar w:fldCharType="end"/>
        </w:r>
      </w:p>
    </w:sdtContent>
  </w:sdt>
  <w:p w14:paraId="3BA3926F">
    <w:pPr>
      <w:pStyle w:val="3"/>
      <w:rPr>
        <w:rFonts w:ascii="Calibri" w:hAnsi="Calibri"/>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172A27"/>
    <w:rsid w:val="013B0F91"/>
    <w:rsid w:val="01AC65E1"/>
    <w:rsid w:val="047B0F59"/>
    <w:rsid w:val="0CD21ED4"/>
    <w:rsid w:val="0DF742E8"/>
    <w:rsid w:val="0E5E6115"/>
    <w:rsid w:val="16FD5CDF"/>
    <w:rsid w:val="17942BA8"/>
    <w:rsid w:val="19F20BCA"/>
    <w:rsid w:val="1FE03D13"/>
    <w:rsid w:val="215313DE"/>
    <w:rsid w:val="28F811E9"/>
    <w:rsid w:val="31224929"/>
    <w:rsid w:val="3C4B1A87"/>
    <w:rsid w:val="416F5228"/>
    <w:rsid w:val="477D340C"/>
    <w:rsid w:val="479C322F"/>
    <w:rsid w:val="482464BF"/>
    <w:rsid w:val="49B31A81"/>
    <w:rsid w:val="565E596C"/>
    <w:rsid w:val="58407C0C"/>
    <w:rsid w:val="6141441B"/>
    <w:rsid w:val="65586590"/>
    <w:rsid w:val="666C4474"/>
    <w:rsid w:val="6C691082"/>
    <w:rsid w:val="6E3A0F28"/>
    <w:rsid w:val="6F4D6A39"/>
    <w:rsid w:val="6FBD596D"/>
    <w:rsid w:val="70A40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caption"/>
    <w:basedOn w:val="1"/>
    <w:next w:val="1"/>
    <w:unhideWhenUsed/>
    <w:qFormat/>
    <w:uiPriority w:val="35"/>
    <w:rPr>
      <w:rFonts w:eastAsia="黑体" w:asciiTheme="majorHAnsi" w:hAnsiTheme="majorHAnsi" w:cstheme="majorBidi"/>
      <w:sz w:val="20"/>
      <w:szCs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toc 1"/>
    <w:basedOn w:val="1"/>
    <w:next w:val="1"/>
    <w:qFormat/>
    <w:uiPriority w:val="39"/>
    <w:pPr>
      <w:spacing w:before="120"/>
      <w:jc w:val="left"/>
    </w:pPr>
    <w:rPr>
      <w:rFonts w:ascii="等线" w:eastAsia="等线"/>
      <w:b/>
      <w:bCs/>
      <w:i/>
      <w:iCs/>
      <w:sz w:val="24"/>
    </w:rPr>
  </w:style>
  <w:style w:type="paragraph" w:styleId="5">
    <w:name w:val="toc 2"/>
    <w:basedOn w:val="1"/>
    <w:next w:val="1"/>
    <w:unhideWhenUsed/>
    <w:qFormat/>
    <w:uiPriority w:val="39"/>
    <w:pPr>
      <w:tabs>
        <w:tab w:val="right" w:leader="dot" w:pos="8290"/>
      </w:tabs>
      <w:ind w:left="420" w:leftChars="200"/>
      <w:jc w:val="center"/>
    </w:p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semiHidden/>
    <w:unhideWhenUsed/>
    <w:qFormat/>
    <w:uiPriority w:val="99"/>
  </w:style>
  <w:style w:type="character" w:styleId="10">
    <w:name w:val="Hyperlink"/>
    <w:basedOn w:val="8"/>
    <w:unhideWhenUsed/>
    <w:qFormat/>
    <w:uiPriority w:val="99"/>
    <w:rPr>
      <w:color w:val="0563C1"/>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5320</Words>
  <Characters>5518</Characters>
  <Lines>0</Lines>
  <Paragraphs>0</Paragraphs>
  <TotalTime>94</TotalTime>
  <ScaleCrop>false</ScaleCrop>
  <LinksUpToDate>false</LinksUpToDate>
  <CharactersWithSpaces>5606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2022-09-25T07:10:00Z</dcterms:created>
  <dc:creator>Administrator</dc:creator>
  <cp:lastModifiedBy>Administrator</cp:lastModifiedBy>
  <dcterms:modified xsi:type="dcterms:W3CDTF">2024-09-11T09:17:58Z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F9F555B7AE8B44C29BBB957CDB31E5A0</vt:lpwstr>
  </property>
</Properties>
</file>