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玉田县商务和投资促进局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玉田县商务和投资促进局编制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1.残疾人保障金绩效目标表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2.冀财建[2024]255号关于提前下达2025年中央服务业发展资金预算的通知绩效目标表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3.限上企业工作经费绩效目标表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4.招商经费绩效目标表</w:t>
      </w:r>
      <w:r>
        <w:tab/>
      </w:r>
      <w:r>
        <w:fldChar w:fldCharType="begin"/>
      </w:r>
      <w:r>
        <w:instrText xml:space="preserve">PAGEREF _Toc_4_4_0000000007 \h</w:instrText>
      </w:r>
      <w:r>
        <w:fldChar w:fldCharType="separate"/>
      </w:r>
      <w:r>
        <w:t>11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围绕县委县政府中心工作，聚焦商务“贯通城乡、对接产销、联通内外”的主责主业，坚持稳中求进，打通堵点，补齐短板，加大招商引资力度，促进消费持续回暖，稳住外贸外资，推动商务高质量发展，更好服务经济社会发展大局。</w:t>
      </w:r>
    </w:p>
    <w:p>
      <w:pPr>
        <w:pStyle w:val="8"/>
      </w:pPr>
      <w:r>
        <w:t>加大限上贸易企业培育力度，保证2025年内培育入统新增限额以上贸易企业不少于5家；确保招商引资工作再上新台阶，着力做好招商引资对外开放工作，力争全年签约亿元以上项目30个；多措并举，鼓励拉动全县消费市场稳步回升，力争2025年全县社会消费品零售总额增长7%；精准帮扶，加强服务，保障外资外贸基本盘进，力争2025年出口总值增长5.5%，实际利用外资增长5%；依托玉田县2021年电子商务进农村综合示范县项目，认真谋划，电子商务工作实现新突破；积极应对，主动作为，协调推进2025年中央服务业发展资金项目建设。重民生，坚持不懈抓好安全生产，持续做好商贸流通领域“创城”、“创卫”等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按照绩效预算编制要求，现将我单位绩效预算编制情况和绩效目标说明如下：本着勤俭节约满足基本需求的原则，2025年我单位需安排专项项目支出938.4万元。</w:t>
      </w:r>
    </w:p>
    <w:p>
      <w:pPr>
        <w:pStyle w:val="9"/>
      </w:pPr>
      <w:r>
        <w:t>一、项目内容</w:t>
      </w:r>
    </w:p>
    <w:p>
      <w:pPr>
        <w:pStyle w:val="9"/>
      </w:pPr>
      <w:r>
        <w:t>按照商务和投资促进局工作职责，为更好地完成县委、县政府工作安排，需安排专项项目经费938.4万元，其中招商经费25万元，限上企业工作经费10万元，2025年中央服务业发展资金900万元，残疾人保障金3.4万元。</w:t>
      </w:r>
    </w:p>
    <w:p>
      <w:pPr>
        <w:pStyle w:val="9"/>
      </w:pPr>
      <w:r>
        <w:t>二、项目目标或指标情况</w:t>
      </w:r>
    </w:p>
    <w:p>
      <w:pPr>
        <w:pStyle w:val="9"/>
      </w:pPr>
      <w:r>
        <w:t>（一）招商经费25万元</w:t>
      </w:r>
    </w:p>
    <w:p>
      <w:pPr>
        <w:pStyle w:val="9"/>
      </w:pPr>
      <w:r>
        <w:t>绩效目标：</w:t>
      </w:r>
    </w:p>
    <w:p>
      <w:pPr>
        <w:pStyle w:val="9"/>
      </w:pPr>
      <w:r>
        <w:t>项目主要用于开展招商引资各项工作。围绕县政府重点工作及全县招商引资工作整体安排，积极发挥职能，大力开展各种招商引资活动，做好项目、资金和人才的对接工作，为我县招商引资和对外开放工作创造有利条件。全年引进亿元及以上项目8个，开展小团组招商活动6次。</w:t>
      </w:r>
    </w:p>
    <w:p>
      <w:pPr>
        <w:pStyle w:val="9"/>
      </w:pPr>
      <w:r>
        <w:t>绩效指标：</w:t>
      </w:r>
    </w:p>
    <w:p>
      <w:pPr>
        <w:pStyle w:val="9"/>
      </w:pPr>
      <w:r>
        <w:t>项目共设产出指标、效果指标和满意度指标三个一级指标，下设11个二、三级指标。具体为：1、产出指标—数量指标—开展产业优势产业项目宣传推介活动数量--反映开展招商引资宣传推介活动情况，指标值为≥4次。2、产出指标—质量指标—促成合作意向数--促成合作意向数，指标值为≥2次。3、产出指标--时效指标--任务完成及时率--任务完成及时率，指标值为≥80%。4、产出指标--成本指标--资金成本--资金成本，指标值为≦25万元。5、效益指标—经济效益指标--税收增长率--税收增长率，指标值为≥70%。6、效益指标—社会效益指标--经贸活动知名度--经贸活动知名度，全方位、多渠道开展招商引资工作，大力宣传推介我县投资环境。7、生态效益指标--生态效益增长率--生态效益增长率，指标值为≥80%。8、效益指标—可持续效益指标--促进贸易便利化效果提升--促进贸易便利化效果提升，加大招商引资工作力度，有效宣传推介我县优势产业。9、满意度指标--企业满意度，指标值为≥80%。10、满意度指标--服务对象满意度，指标值为≥80%。11、满意度指标--满意率，指标值为≥80%。</w:t>
      </w:r>
    </w:p>
    <w:p>
      <w:pPr>
        <w:pStyle w:val="9"/>
      </w:pPr>
      <w:r>
        <w:t>（二）限上企业工作经费10万元</w:t>
      </w:r>
    </w:p>
    <w:p>
      <w:pPr>
        <w:pStyle w:val="9"/>
      </w:pPr>
      <w:r>
        <w:t>绩效目标：</w:t>
      </w:r>
    </w:p>
    <w:p>
      <w:pPr>
        <w:pStyle w:val="9"/>
      </w:pPr>
      <w:r>
        <w:t>项目主要用于开展限上企业相关工作，多举措培育限上企业，激发企业创新活力，提升企业综合竞争实力，促进企业加快转型升级，全力推动企业做大做强。</w:t>
      </w:r>
    </w:p>
    <w:p>
      <w:pPr>
        <w:pStyle w:val="9"/>
      </w:pPr>
      <w:r>
        <w:t>绩效指标：</w:t>
      </w:r>
    </w:p>
    <w:p>
      <w:pPr>
        <w:pStyle w:val="9"/>
      </w:pPr>
      <w:r>
        <w:t>项目共设产出指标、效果指标和满意度指标三个一级指标，下设11个二、三级指标。具体为：1、产出指标—数量指标—开展小型调研次数，指标值为≥5次。2、产出指标—质量指标—任务完成率，指标值为≥80%。3、产出指标--时效指标--各项任务完成及时率--任务完成及时率，指标值为≥80%。4、产出指标--成本指标--资金成本--资金成本，指标值为≦10万元。5、效益指标—经济效益指标--税收增长率--税收增长率，指标值为≥70%。6、效益指标—社会效益指标--创新工作完成率，指标值为≥80%。7、生态效益指标--生态效益增长率--生态效益增长率，指标值为≥80%。8、效益指标—可持续效益指标--实际参会企业数，指标值为≥40家。9、满意度指标--企业满意度，指标值为≥80%。10、满意度指标--满意率，指标值为≥80%。11、满意度指标--群众满意度，指标值为≥80%。</w:t>
      </w:r>
    </w:p>
    <w:p>
      <w:pPr>
        <w:pStyle w:val="9"/>
      </w:pPr>
      <w:r>
        <w:t>（三）中央服务业发展资金900万元</w:t>
      </w:r>
    </w:p>
    <w:p>
      <w:pPr>
        <w:pStyle w:val="9"/>
      </w:pPr>
      <w:r>
        <w:t>绩效目标：</w:t>
      </w:r>
    </w:p>
    <w:p>
      <w:pPr>
        <w:pStyle w:val="9"/>
      </w:pPr>
      <w:r>
        <w:t>项目主要为更好开展县域商业建设行动，在县域商业体系建设、农村消费促进、农村商贸流通企业数字化转型等领域培育一批典型，建设改造一批县级物流配送中心，打造现代流通供应链。</w:t>
      </w:r>
    </w:p>
    <w:p>
      <w:pPr>
        <w:pStyle w:val="9"/>
      </w:pPr>
      <w:r>
        <w:t>绩效指标：</w:t>
      </w:r>
    </w:p>
    <w:p>
      <w:pPr>
        <w:pStyle w:val="9"/>
      </w:pPr>
      <w:r>
        <w:t>项目共设产出指标、效果指标和满意度指标三个一级指标，下设9个二、三级指标。具体为：1、产出指标—数量指标—县级物流配送中心新增改造数量--县级物流配送中心新增改造数量，指标值为≥5个。2、产出指标—质量指标—乡镇商贸中心覆盖率提高--乡镇商贸中心覆盖率提高，指标值为≥2%。3、产出指标--时效指标--及时性--及时性，按时完成。4、产出指标--成本指标--资金成本--资金成本，指标值为≦900万元。5、效益指标—经济效益指标--农村网络销售同比增速--农村网络销售同比增速，指标值为≥2%。6、效益指标—社会效益指标--农村网络销售同比增速--农村网络销售同比增速，指标值为≥1%。7、生态效益指标--生态效益指标--生态效益指标，指标值为≥2个。8、效益指标—可持续效益指标--后续养护资金落实情况--生态效益指标，持续促进县域商业体系建设。9、满意度指标--服务对象满意度--服务对象满意度，指标值为≥80%。</w:t>
      </w:r>
    </w:p>
    <w:p>
      <w:pPr>
        <w:pStyle w:val="9"/>
      </w:pPr>
      <w:r>
        <w:t>（四）残疾人保障金3.4万元</w:t>
      </w:r>
    </w:p>
    <w:p>
      <w:pPr>
        <w:pStyle w:val="9"/>
      </w:pPr>
      <w:r>
        <w:t>绩效目标：</w:t>
      </w:r>
    </w:p>
    <w:p>
      <w:pPr>
        <w:pStyle w:val="9"/>
      </w:pPr>
      <w:r>
        <w:t>项目主要用于保障残疾人权益，确保残疾人更好就业，及时缴纳残疾人保障金。</w:t>
      </w:r>
    </w:p>
    <w:p>
      <w:pPr>
        <w:pStyle w:val="9"/>
      </w:pPr>
      <w:r>
        <w:t>绩效指标：</w:t>
      </w:r>
    </w:p>
    <w:p>
      <w:pPr>
        <w:pStyle w:val="9"/>
      </w:pPr>
      <w:r>
        <w:t>项目共设产出指标、效果指标和满意度指标三个一级指标，下设9个二、三级指标。具体为：1、产出指标—数量指标—拨款数额--拨款数额，指标值为≤3.4万元。2、产出指标—质量指标—考核指标完成率--考核指标完成率，指标值为≥80%。3、产出指标--时效指标--专项资金拨付及时率--专项资金拨付及时率，指标值为≥80%。4、产出指标--成本指标--资金成本--资金成本，指标值为≦3.4万元。5、效益指标—经济效益指标--资金使用效益--资金使用效益，及时缴纳残疾人保障金。6、效益指标—社会效益指标--工作影响力--服务残疾人，确保残疾人就业，确保残疾人就业。7、生态效益指标--生态效益指标--生态效益指标，指标值为≥80%。8、效益指标—可持续效益指标--持续发展作用力--持续发展作用力，持续保障残疾人权益。9、满意度指标--服务对象满意度--服务对象满意度，指标值为≥80%。10、满意度指标--群众满意度--群众满意度，指标值为≥80%。11、满意度指标--工作人员满意度--工作人员满意度，指标值为≥80%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bookmarkStart w:id="7" w:name="_GoBack"/>
      <w:bookmarkEnd w:id="7"/>
      <w:r>
        <w:t>围绕县委县政府中心工作，聚焦商务“贯通城乡、对接产销、联通内外”的主责主业，坚持稳中求进，打通堵点，补齐短板，加大招商引资力度，促进消费持续回暖，稳住外贸外资，推动商务高质量发展，更好服务经济社会发展大局。</w:t>
      </w:r>
    </w:p>
    <w:p>
      <w:pPr>
        <w:pStyle w:val="10"/>
      </w:pPr>
      <w:r>
        <w:t>（一）明方向，大力开展招商引资。一是加强队伍建设。充实招商力量，通过专业人才的引领带动提升招商队伍的专业化水平。二是完善工作机制。营造“全民招商”氛围，大力提高我县招商引资竞争力和吸引力。三是明确招商方向。从质量上实现新突破，吸引更多优质企业和项目落户玉田。四是优化招商方式。大力实施驻点招商、以商招商、产业链招商等方式，招引更多外资项目落地玉田。力争2025年全年签约引进亿元以上项目30个。</w:t>
      </w:r>
    </w:p>
    <w:p>
      <w:pPr>
        <w:pStyle w:val="10"/>
      </w:pPr>
      <w:r>
        <w:t>（二） 强举措，激发市场消费活力。一是组织促消费活动。二是合力推动，加速企业培育。继续加大限上企业培育力度。三是扎实推动县域商业建设行动，推动县域商业高质量发展。</w:t>
      </w:r>
    </w:p>
    <w:p>
      <w:pPr>
        <w:pStyle w:val="10"/>
      </w:pPr>
      <w:r>
        <w:t>（三）拓市场，稳住外资外贸基本盘。一是全面贯彻落实国家、省市稳外贸相关政策，主动为企业送服务送政策。深度挖掘出口潜力企业，巩固外贸存量。加大对无进出口实绩企业的帮扶指导力度，2025年进出口实绩企业力争达到120家以上。二是引导企业通过多模式参展抢订单、拓市场。三是落实国家各项稳外资政策措施。2025年全县进出口总额预计增速5%；实际使用外资完成市达任务。</w:t>
      </w:r>
    </w:p>
    <w:p>
      <w:pPr>
        <w:pStyle w:val="10"/>
      </w:pPr>
      <w:r>
        <w:t>（四）强主体，大力发展电商产业。依托电商进农村示范县项目和鸦鸿桥电商产业园，加快打造区域电商直播产业聚集地，带动区域电商直播行业蓬勃向上发展，全力构建集平台、主播、产业链、企业品牌、物流管理、孵化培训等为一体的直播电商生态圈，利用好我县优质主播资源，谋划开展“主播进企业”等活动，带动我县特色商品走向全国。</w:t>
      </w:r>
    </w:p>
    <w:p>
      <w:pPr>
        <w:pStyle w:val="10"/>
      </w:pPr>
      <w:r>
        <w:t>（五）重民生，坚持不懈抓好安全生产。配合有关部门做好商贸服务业安全生产管理工作，指导督促商贸流通企业贯彻执行安全生产法律法规，提高安全生产意识，关注预付卡等领域风险，全力保障商务发展安全；积极配合环保、应急等部门做好成品油零售网点的大气污染防治和餐饮燃气安全工作；持续做好商贸流通领域“创城”、“创卫”等工作。</w:t>
      </w:r>
    </w:p>
    <w:p>
      <w:pPr>
        <w:pStyle w:val="10"/>
      </w:pPr>
      <w:r>
        <w:t>(六)完善财务制度建设，加强支出管理，加强绩效运行监控，做好绩效自评，规范财务资产管理，加强内部监督，加强宣传培训调研，确保完成全年工作任务。</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1.残疾人保障金绩效目标表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304001玉田县商务和投资促进局本级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13022925P00JXC4194973</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34000.00</w:t>
            </w:r>
          </w:p>
        </w:tc>
        <w:tc>
          <w:tcPr>
            <w:tcW w:w="1587" w:type="dxa"/>
            <w:vAlign w:val="center"/>
          </w:tcPr>
          <w:p>
            <w:pPr>
              <w:pStyle w:val="14"/>
            </w:pPr>
            <w:r>
              <w:t>其中：财政    资金</w:t>
            </w:r>
          </w:p>
        </w:tc>
        <w:tc>
          <w:tcPr>
            <w:tcW w:w="1304" w:type="dxa"/>
            <w:vAlign w:val="center"/>
          </w:tcPr>
          <w:p>
            <w:pPr>
              <w:pStyle w:val="13"/>
            </w:pPr>
            <w:r>
              <w:t>34000.00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保障残疾人权益，缴纳残疾人保障金。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1.保障残疾人权益，提高我县残疾人的生活水平；</w:t>
            </w:r>
          </w:p>
          <w:p>
            <w:pPr>
              <w:pStyle w:val="13"/>
            </w:pPr>
            <w:r>
              <w:t>2.确保残疾人广泛就业，创造更多的经济效益。</w:t>
            </w:r>
          </w:p>
          <w:p>
            <w:pPr>
              <w:pStyle w:val="13"/>
            </w:pPr>
            <w:r>
              <w:t>3.按时缴纳残疾人保障金；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拨款数额</w:t>
            </w:r>
          </w:p>
        </w:tc>
        <w:tc>
          <w:tcPr>
            <w:tcW w:w="2891" w:type="dxa"/>
            <w:vAlign w:val="center"/>
          </w:tcPr>
          <w:p>
            <w:pPr>
              <w:pStyle w:val="13"/>
            </w:pPr>
            <w:r>
              <w:t>拨款数额</w:t>
            </w:r>
          </w:p>
        </w:tc>
        <w:tc>
          <w:tcPr>
            <w:tcW w:w="1276" w:type="dxa"/>
            <w:vAlign w:val="center"/>
          </w:tcPr>
          <w:p>
            <w:pPr>
              <w:pStyle w:val="13"/>
            </w:pPr>
            <w:r>
              <w:t>≤3.4万元</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考核指标完成率</w:t>
            </w:r>
          </w:p>
        </w:tc>
        <w:tc>
          <w:tcPr>
            <w:tcW w:w="2891" w:type="dxa"/>
            <w:vAlign w:val="center"/>
          </w:tcPr>
          <w:p>
            <w:pPr>
              <w:pStyle w:val="13"/>
            </w:pPr>
            <w:r>
              <w:t>考核指标完成率</w:t>
            </w:r>
          </w:p>
        </w:tc>
        <w:tc>
          <w:tcPr>
            <w:tcW w:w="1276" w:type="dxa"/>
            <w:vAlign w:val="center"/>
          </w:tcPr>
          <w:p>
            <w:pPr>
              <w:pStyle w:val="13"/>
            </w:pPr>
            <w:r>
              <w:t>≥80百分比</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专项资金拨付及时率</w:t>
            </w:r>
          </w:p>
        </w:tc>
        <w:tc>
          <w:tcPr>
            <w:tcW w:w="2891" w:type="dxa"/>
            <w:vAlign w:val="center"/>
          </w:tcPr>
          <w:p>
            <w:pPr>
              <w:pStyle w:val="13"/>
            </w:pPr>
            <w:r>
              <w:t>专项资金拨付及时率</w:t>
            </w:r>
          </w:p>
        </w:tc>
        <w:tc>
          <w:tcPr>
            <w:tcW w:w="1276" w:type="dxa"/>
            <w:vAlign w:val="center"/>
          </w:tcPr>
          <w:p>
            <w:pPr>
              <w:pStyle w:val="13"/>
            </w:pPr>
            <w:r>
              <w:t>≥80百分比</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w:t>
            </w:r>
          </w:p>
        </w:tc>
        <w:tc>
          <w:tcPr>
            <w:tcW w:w="2891" w:type="dxa"/>
            <w:vAlign w:val="center"/>
          </w:tcPr>
          <w:p>
            <w:pPr>
              <w:pStyle w:val="13"/>
            </w:pPr>
            <w:r>
              <w:t>预算</w:t>
            </w:r>
          </w:p>
        </w:tc>
        <w:tc>
          <w:tcPr>
            <w:tcW w:w="1276" w:type="dxa"/>
            <w:vAlign w:val="center"/>
          </w:tcPr>
          <w:p>
            <w:pPr>
              <w:pStyle w:val="13"/>
            </w:pPr>
            <w:r>
              <w:t>≤3.4万元</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及时缴纳残疾人保障金，确保残疾人权益</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工作影响力</w:t>
            </w:r>
          </w:p>
        </w:tc>
        <w:tc>
          <w:tcPr>
            <w:tcW w:w="2891" w:type="dxa"/>
            <w:vAlign w:val="center"/>
          </w:tcPr>
          <w:p>
            <w:pPr>
              <w:pStyle w:val="13"/>
            </w:pPr>
            <w:r>
              <w:t>服务残疾人，确保残疾人就业</w:t>
            </w:r>
          </w:p>
        </w:tc>
        <w:tc>
          <w:tcPr>
            <w:tcW w:w="1276" w:type="dxa"/>
            <w:vAlign w:val="center"/>
          </w:tcPr>
          <w:p>
            <w:pPr>
              <w:pStyle w:val="13"/>
            </w:pPr>
            <w:r>
              <w:t>确保残疾人就业</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≥80百分比</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保障残疾人权益</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≥80百分比</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≥80百分比</w:t>
            </w:r>
          </w:p>
        </w:tc>
        <w:tc>
          <w:tcPr>
            <w:tcW w:w="1843"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工作人员满意度</w:t>
            </w:r>
          </w:p>
        </w:tc>
        <w:tc>
          <w:tcPr>
            <w:tcW w:w="2891" w:type="dxa"/>
            <w:vAlign w:val="center"/>
          </w:tcPr>
          <w:p>
            <w:pPr>
              <w:pStyle w:val="13"/>
            </w:pPr>
            <w:r>
              <w:t>工作人员满意度</w:t>
            </w:r>
          </w:p>
        </w:tc>
        <w:tc>
          <w:tcPr>
            <w:tcW w:w="1276" w:type="dxa"/>
            <w:vAlign w:val="center"/>
          </w:tcPr>
          <w:p>
            <w:pPr>
              <w:pStyle w:val="13"/>
            </w:pPr>
            <w:r>
              <w:t>≥80百分比</w:t>
            </w:r>
          </w:p>
        </w:tc>
        <w:tc>
          <w:tcPr>
            <w:tcW w:w="1843" w:type="dxa"/>
            <w:vAlign w:val="center"/>
          </w:tcPr>
          <w:p>
            <w:pPr>
              <w:pStyle w:val="13"/>
            </w:pPr>
            <w:r>
              <w:t>缴纳残疾人保障金的通知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2.冀财建[2024]255号关于提前下达2025年中央服务业发展资金预算的通知绩效目标表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304001玉田县商务和投资促进局本级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13022925P00003410001H</w:t>
            </w:r>
          </w:p>
        </w:tc>
        <w:tc>
          <w:tcPr>
            <w:tcW w:w="1587" w:type="dxa"/>
            <w:vAlign w:val="center"/>
          </w:tcPr>
          <w:p>
            <w:pPr>
              <w:pStyle w:val="14"/>
            </w:pPr>
            <w:r>
              <w:t>项目名称</w:t>
            </w:r>
          </w:p>
        </w:tc>
        <w:tc>
          <w:tcPr>
            <w:tcW w:w="4423" w:type="dxa"/>
            <w:gridSpan w:val="3"/>
            <w:vAlign w:val="center"/>
          </w:tcPr>
          <w:p>
            <w:pPr>
              <w:pStyle w:val="13"/>
            </w:pPr>
            <w:r>
              <w:t>冀财建[2024]255号关于提前下达2025年中央服务业发展资金预算的通知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9000000.00</w:t>
            </w:r>
          </w:p>
        </w:tc>
        <w:tc>
          <w:tcPr>
            <w:tcW w:w="1587" w:type="dxa"/>
            <w:vAlign w:val="center"/>
          </w:tcPr>
          <w:p>
            <w:pPr>
              <w:pStyle w:val="14"/>
            </w:pPr>
            <w:r>
              <w:t>其中：财政    资金</w:t>
            </w:r>
          </w:p>
        </w:tc>
        <w:tc>
          <w:tcPr>
            <w:tcW w:w="1304" w:type="dxa"/>
            <w:vAlign w:val="center"/>
          </w:tcPr>
          <w:p>
            <w:pPr>
              <w:pStyle w:val="13"/>
            </w:pPr>
            <w:r>
              <w:t>9000000.00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支持县域商业建设体系，发展中央服务业项目。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1.建设改造一批县级物流配送中心、乡镇商贸中心和快递物流站点，流通效率明显提升，流通成本进一步降低。</w:t>
            </w:r>
          </w:p>
          <w:p>
            <w:pPr>
              <w:pStyle w:val="13"/>
            </w:pPr>
            <w:r>
              <w:t>2.围绕地方特色产业，打造现代流通供应链，工业品下乡和农产品进城更加畅通。</w:t>
            </w:r>
          </w:p>
          <w:p>
            <w:pPr>
              <w:pStyle w:val="13"/>
            </w:pPr>
            <w:r>
              <w:t>3.在县域商业体系建设、农村消费促进、农村商贸流通企业数字化转型等领域培育一批各具特色的地方典型。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县级物流配送中心新增改造数量</w:t>
            </w:r>
          </w:p>
        </w:tc>
        <w:tc>
          <w:tcPr>
            <w:tcW w:w="2891" w:type="dxa"/>
            <w:vAlign w:val="center"/>
          </w:tcPr>
          <w:p>
            <w:pPr>
              <w:pStyle w:val="13"/>
            </w:pPr>
            <w:r>
              <w:t>县级物流配送中心新增改造数量</w:t>
            </w:r>
          </w:p>
        </w:tc>
        <w:tc>
          <w:tcPr>
            <w:tcW w:w="1276" w:type="dxa"/>
            <w:vAlign w:val="center"/>
          </w:tcPr>
          <w:p>
            <w:pPr>
              <w:pStyle w:val="13"/>
            </w:pPr>
            <w:r>
              <w:t>≥5个</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乡镇商贸中心覆盖率提高</w:t>
            </w:r>
          </w:p>
        </w:tc>
        <w:tc>
          <w:tcPr>
            <w:tcW w:w="2891" w:type="dxa"/>
            <w:vAlign w:val="center"/>
          </w:tcPr>
          <w:p>
            <w:pPr>
              <w:pStyle w:val="13"/>
            </w:pPr>
            <w:r>
              <w:t>乡镇商贸中心覆盖率提高</w:t>
            </w:r>
          </w:p>
        </w:tc>
        <w:tc>
          <w:tcPr>
            <w:tcW w:w="1276" w:type="dxa"/>
            <w:vAlign w:val="center"/>
          </w:tcPr>
          <w:p>
            <w:pPr>
              <w:pStyle w:val="13"/>
            </w:pPr>
            <w:r>
              <w:t>≥2百分比</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按时完成工作任务</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项目总预算数</w:t>
            </w:r>
          </w:p>
        </w:tc>
        <w:tc>
          <w:tcPr>
            <w:tcW w:w="2891" w:type="dxa"/>
            <w:vAlign w:val="center"/>
          </w:tcPr>
          <w:p>
            <w:pPr>
              <w:pStyle w:val="13"/>
            </w:pPr>
            <w:r>
              <w:t>项目总预算数</w:t>
            </w:r>
          </w:p>
        </w:tc>
        <w:tc>
          <w:tcPr>
            <w:tcW w:w="1276" w:type="dxa"/>
            <w:vAlign w:val="center"/>
          </w:tcPr>
          <w:p>
            <w:pPr>
              <w:pStyle w:val="13"/>
            </w:pPr>
            <w:r>
              <w:t>≤900万元</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农村网络销售同比增速</w:t>
            </w:r>
          </w:p>
        </w:tc>
        <w:tc>
          <w:tcPr>
            <w:tcW w:w="2891" w:type="dxa"/>
            <w:vAlign w:val="center"/>
          </w:tcPr>
          <w:p>
            <w:pPr>
              <w:pStyle w:val="13"/>
            </w:pPr>
            <w:r>
              <w:t>农村网络销售同比增速</w:t>
            </w:r>
          </w:p>
        </w:tc>
        <w:tc>
          <w:tcPr>
            <w:tcW w:w="1276" w:type="dxa"/>
            <w:vAlign w:val="center"/>
          </w:tcPr>
          <w:p>
            <w:pPr>
              <w:pStyle w:val="13"/>
            </w:pPr>
            <w:r>
              <w:t>≥2百分比</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农村网商数量同比增速</w:t>
            </w:r>
          </w:p>
        </w:tc>
        <w:tc>
          <w:tcPr>
            <w:tcW w:w="2891" w:type="dxa"/>
            <w:vAlign w:val="center"/>
          </w:tcPr>
          <w:p>
            <w:pPr>
              <w:pStyle w:val="13"/>
            </w:pPr>
            <w:r>
              <w:t>农村网商数量同比增速</w:t>
            </w:r>
          </w:p>
        </w:tc>
        <w:tc>
          <w:tcPr>
            <w:tcW w:w="1276" w:type="dxa"/>
            <w:vAlign w:val="center"/>
          </w:tcPr>
          <w:p>
            <w:pPr>
              <w:pStyle w:val="13"/>
            </w:pPr>
            <w:r>
              <w:t>≥1百分比</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≥2个</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后续养护资金落实情况</w:t>
            </w:r>
          </w:p>
        </w:tc>
        <w:tc>
          <w:tcPr>
            <w:tcW w:w="2891" w:type="dxa"/>
            <w:vAlign w:val="center"/>
          </w:tcPr>
          <w:p>
            <w:pPr>
              <w:pStyle w:val="13"/>
            </w:pPr>
            <w:r>
              <w:t>后续养护资金落实情况</w:t>
            </w:r>
          </w:p>
        </w:tc>
        <w:tc>
          <w:tcPr>
            <w:tcW w:w="1276" w:type="dxa"/>
            <w:vAlign w:val="center"/>
          </w:tcPr>
          <w:p>
            <w:pPr>
              <w:pStyle w:val="13"/>
            </w:pPr>
            <w:r>
              <w:t>持续促进县域体系建设</w:t>
            </w:r>
          </w:p>
        </w:tc>
        <w:tc>
          <w:tcPr>
            <w:tcW w:w="1843"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≥80百分比</w:t>
            </w:r>
          </w:p>
        </w:tc>
        <w:tc>
          <w:tcPr>
            <w:tcW w:w="1843" w:type="dxa"/>
            <w:vAlign w:val="center"/>
          </w:tcPr>
          <w:p>
            <w:pPr>
              <w:pStyle w:val="13"/>
            </w:pPr>
            <w:r>
              <w:t>关于提前下达2025年中央服务业发展资金预算的通知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3.限上企业工作经费绩效目标表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304001玉田县商务和投资促进局本级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13022925P000034100025</w:t>
            </w:r>
          </w:p>
        </w:tc>
        <w:tc>
          <w:tcPr>
            <w:tcW w:w="1587" w:type="dxa"/>
            <w:vAlign w:val="center"/>
          </w:tcPr>
          <w:p>
            <w:pPr>
              <w:pStyle w:val="14"/>
            </w:pPr>
            <w:r>
              <w:t>项目名称</w:t>
            </w:r>
          </w:p>
        </w:tc>
        <w:tc>
          <w:tcPr>
            <w:tcW w:w="4423" w:type="dxa"/>
            <w:gridSpan w:val="3"/>
            <w:vAlign w:val="center"/>
          </w:tcPr>
          <w:p>
            <w:pPr>
              <w:pStyle w:val="13"/>
            </w:pPr>
            <w:r>
              <w:t>限上企业工作经费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激发企业创新活力，培育县内限上企业。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1.激发企业创新活力，促进企业做大做强；</w:t>
            </w:r>
          </w:p>
          <w:p>
            <w:pPr>
              <w:pStyle w:val="13"/>
            </w:pPr>
            <w:r>
              <w:t>2.推动产业结构转型升级，促进企业创收。</w:t>
            </w:r>
          </w:p>
          <w:p>
            <w:pPr>
              <w:pStyle w:val="13"/>
            </w:pPr>
            <w:r>
              <w:t>3.大力培育我县境内限上企业；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开展小型调研次数</w:t>
            </w:r>
          </w:p>
        </w:tc>
        <w:tc>
          <w:tcPr>
            <w:tcW w:w="2891" w:type="dxa"/>
            <w:vAlign w:val="center"/>
          </w:tcPr>
          <w:p>
            <w:pPr>
              <w:pStyle w:val="13"/>
            </w:pPr>
            <w:r>
              <w:t>开展小型调研次数</w:t>
            </w:r>
          </w:p>
        </w:tc>
        <w:tc>
          <w:tcPr>
            <w:tcW w:w="1276" w:type="dxa"/>
            <w:vAlign w:val="center"/>
          </w:tcPr>
          <w:p>
            <w:pPr>
              <w:pStyle w:val="13"/>
            </w:pPr>
            <w:r>
              <w:t>≥5次</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任务完成率</w:t>
            </w:r>
          </w:p>
        </w:tc>
        <w:tc>
          <w:tcPr>
            <w:tcW w:w="2891" w:type="dxa"/>
            <w:vAlign w:val="center"/>
          </w:tcPr>
          <w:p>
            <w:pPr>
              <w:pStyle w:val="13"/>
            </w:pPr>
            <w:r>
              <w:t>任务完成率</w:t>
            </w:r>
          </w:p>
        </w:tc>
        <w:tc>
          <w:tcPr>
            <w:tcW w:w="1276" w:type="dxa"/>
            <w:vAlign w:val="center"/>
          </w:tcPr>
          <w:p>
            <w:pPr>
              <w:pStyle w:val="13"/>
            </w:pPr>
            <w:r>
              <w:t>≥80百分比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≥80百分比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税收增长率</w:t>
            </w:r>
          </w:p>
        </w:tc>
        <w:tc>
          <w:tcPr>
            <w:tcW w:w="2891" w:type="dxa"/>
            <w:vAlign w:val="center"/>
          </w:tcPr>
          <w:p>
            <w:pPr>
              <w:pStyle w:val="13"/>
            </w:pPr>
            <w:r>
              <w:t>税收增长率</w:t>
            </w:r>
          </w:p>
        </w:tc>
        <w:tc>
          <w:tcPr>
            <w:tcW w:w="1276" w:type="dxa"/>
            <w:vAlign w:val="center"/>
          </w:tcPr>
          <w:p>
            <w:pPr>
              <w:pStyle w:val="13"/>
            </w:pPr>
            <w:r>
              <w:t>≥70内部</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≥80百分比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≥80百分比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实际参会企业数</w:t>
            </w:r>
          </w:p>
        </w:tc>
        <w:tc>
          <w:tcPr>
            <w:tcW w:w="2891" w:type="dxa"/>
            <w:vAlign w:val="center"/>
          </w:tcPr>
          <w:p>
            <w:pPr>
              <w:pStyle w:val="13"/>
            </w:pPr>
            <w:r>
              <w:t>实际参会企业数</w:t>
            </w:r>
          </w:p>
        </w:tc>
        <w:tc>
          <w:tcPr>
            <w:tcW w:w="1276" w:type="dxa"/>
            <w:vAlign w:val="center"/>
          </w:tcPr>
          <w:p>
            <w:pPr>
              <w:pStyle w:val="13"/>
            </w:pPr>
            <w:r>
              <w:t>≥40家</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≥80百分比</w:t>
            </w:r>
          </w:p>
        </w:tc>
        <w:tc>
          <w:tcPr>
            <w:tcW w:w="1843" w:type="dxa"/>
            <w:vAlign w:val="center"/>
          </w:tcPr>
          <w:p>
            <w:pPr>
              <w:pStyle w:val="13"/>
            </w:pPr>
            <w:r>
              <w:t>2025年度工作计划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4.招商经费绩效目标表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304001玉田县商务和投资促进局本级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13022925P000028100038</w:t>
            </w:r>
          </w:p>
        </w:tc>
        <w:tc>
          <w:tcPr>
            <w:tcW w:w="1587" w:type="dxa"/>
            <w:vAlign w:val="center"/>
          </w:tcPr>
          <w:p>
            <w:pPr>
              <w:pStyle w:val="14"/>
            </w:pPr>
            <w:r>
              <w:t>项目名称</w:t>
            </w:r>
          </w:p>
        </w:tc>
        <w:tc>
          <w:tcPr>
            <w:tcW w:w="4423"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304" w:type="dxa"/>
            <w:vAlign w:val="center"/>
          </w:tcPr>
          <w:p>
            <w:pPr>
              <w:pStyle w:val="13"/>
            </w:pPr>
            <w:r>
              <w:t>250000.00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招商引资，扩大对外开放，宣传推介我县投资环境。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1.进一步丰富招商宣传册和项目册内容，更好的宣传和推介我县的投资环境。</w:t>
            </w:r>
          </w:p>
          <w:p>
            <w:pPr>
              <w:pStyle w:val="13"/>
            </w:pPr>
            <w:r>
              <w:t>2.在做好招商网日常维护和更新的同时，加强网上项目推介，动态更新项目库，提高我县招商项目的时效性和可靠性，及时接收和反馈项目信息并做好联系洽谈工作。</w:t>
            </w:r>
          </w:p>
          <w:p>
            <w:pPr>
              <w:pStyle w:val="13"/>
            </w:pPr>
            <w:r>
              <w:t>3.积极参加国家、省、市组织的招商推介活动，并自办招商推介活动。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开展产业优势产业项目宣传推介活动数量</w:t>
            </w:r>
          </w:p>
        </w:tc>
        <w:tc>
          <w:tcPr>
            <w:tcW w:w="2891" w:type="dxa"/>
            <w:vAlign w:val="center"/>
          </w:tcPr>
          <w:p>
            <w:pPr>
              <w:pStyle w:val="13"/>
            </w:pPr>
            <w:r>
              <w:t>开展产业优势产业项目宣传推介活动数量</w:t>
            </w:r>
          </w:p>
        </w:tc>
        <w:tc>
          <w:tcPr>
            <w:tcW w:w="1276" w:type="dxa"/>
            <w:vAlign w:val="center"/>
          </w:tcPr>
          <w:p>
            <w:pPr>
              <w:pStyle w:val="13"/>
            </w:pPr>
            <w:r>
              <w:t>≥4次</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促成合作意向数</w:t>
            </w:r>
          </w:p>
        </w:tc>
        <w:tc>
          <w:tcPr>
            <w:tcW w:w="2891" w:type="dxa"/>
            <w:vAlign w:val="center"/>
          </w:tcPr>
          <w:p>
            <w:pPr>
              <w:pStyle w:val="13"/>
            </w:pPr>
            <w:r>
              <w:t>促成合作意向数</w:t>
            </w:r>
          </w:p>
        </w:tc>
        <w:tc>
          <w:tcPr>
            <w:tcW w:w="1276" w:type="dxa"/>
            <w:vAlign w:val="center"/>
          </w:tcPr>
          <w:p>
            <w:pPr>
              <w:pStyle w:val="13"/>
            </w:pPr>
            <w:r>
              <w:t>≥2个</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及时率</w:t>
            </w:r>
          </w:p>
        </w:tc>
        <w:tc>
          <w:tcPr>
            <w:tcW w:w="1276" w:type="dxa"/>
            <w:vAlign w:val="center"/>
          </w:tcPr>
          <w:p>
            <w:pPr>
              <w:pStyle w:val="13"/>
            </w:pPr>
            <w:r>
              <w:t>≥80百分比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≤25万元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税收增长率</w:t>
            </w:r>
          </w:p>
        </w:tc>
        <w:tc>
          <w:tcPr>
            <w:tcW w:w="2891" w:type="dxa"/>
            <w:vAlign w:val="center"/>
          </w:tcPr>
          <w:p>
            <w:pPr>
              <w:pStyle w:val="13"/>
            </w:pPr>
            <w:r>
              <w:t>税收增长率</w:t>
            </w:r>
          </w:p>
        </w:tc>
        <w:tc>
          <w:tcPr>
            <w:tcW w:w="1276" w:type="dxa"/>
            <w:vAlign w:val="center"/>
          </w:tcPr>
          <w:p>
            <w:pPr>
              <w:pStyle w:val="13"/>
            </w:pPr>
            <w:r>
              <w:t>≥20百分比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招商引资规模增长率（%）</w:t>
            </w:r>
          </w:p>
        </w:tc>
        <w:tc>
          <w:tcPr>
            <w:tcW w:w="2891" w:type="dxa"/>
            <w:vAlign w:val="center"/>
          </w:tcPr>
          <w:p>
            <w:pPr>
              <w:pStyle w:val="13"/>
            </w:pPr>
            <w:r>
              <w:t>招商引资规模增长率（%）</w:t>
            </w:r>
          </w:p>
        </w:tc>
        <w:tc>
          <w:tcPr>
            <w:tcW w:w="1276" w:type="dxa"/>
            <w:vAlign w:val="center"/>
          </w:tcPr>
          <w:p>
            <w:pPr>
              <w:pStyle w:val="13"/>
            </w:pPr>
            <w:r>
              <w:t>≥20百分比</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经贸活动知名度</w:t>
            </w:r>
          </w:p>
        </w:tc>
        <w:tc>
          <w:tcPr>
            <w:tcW w:w="2891" w:type="dxa"/>
            <w:vAlign w:val="center"/>
          </w:tcPr>
          <w:p>
            <w:pPr>
              <w:pStyle w:val="13"/>
            </w:pPr>
            <w:r>
              <w:t>经贸活动知名度</w:t>
            </w:r>
          </w:p>
        </w:tc>
        <w:tc>
          <w:tcPr>
            <w:tcW w:w="1276" w:type="dxa"/>
            <w:vAlign w:val="center"/>
          </w:tcPr>
          <w:p>
            <w:pPr>
              <w:pStyle w:val="13"/>
            </w:pPr>
            <w:r>
              <w:t>全方位、多渠道开展招商引资活动，有效宣传我县投资环境。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促进贸易便利化效果提升</w:t>
            </w:r>
          </w:p>
        </w:tc>
        <w:tc>
          <w:tcPr>
            <w:tcW w:w="2891" w:type="dxa"/>
            <w:vAlign w:val="center"/>
          </w:tcPr>
          <w:p>
            <w:pPr>
              <w:pStyle w:val="13"/>
            </w:pPr>
            <w:r>
              <w:t>促进贸易便利化效果提升</w:t>
            </w:r>
          </w:p>
        </w:tc>
        <w:tc>
          <w:tcPr>
            <w:tcW w:w="1276" w:type="dxa"/>
            <w:vAlign w:val="center"/>
          </w:tcPr>
          <w:p>
            <w:pPr>
              <w:pStyle w:val="13"/>
            </w:pPr>
            <w:r>
              <w:t>加大招商引资工作力度，有效促进我县产业升级。</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≥80百分比</w:t>
            </w:r>
          </w:p>
        </w:tc>
        <w:tc>
          <w:tcPr>
            <w:tcW w:w="1843" w:type="dxa"/>
            <w:vAlign w:val="center"/>
          </w:tcPr>
          <w:p>
            <w:pPr>
              <w:pStyle w:val="13"/>
            </w:pPr>
            <w:r>
              <w:t>2025年度工作计划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79112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2025-01-17T18:13:00Z</dcterms:created>
  <dc:creator>LENOVO</dc:creator>
  <cp:lastModifiedBy>LENOVO</cp:lastModifiedBy>
  <dcterms:modified xsi:type="dcterms:W3CDTF">2025-01-23T06:49:10Z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