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479玉田县玉田镇人民政府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32289816.32</w:t>
            </w:r>
          </w:p>
        </w:tc>
        <w:tc>
          <w:tcPr>
            <w:tcW w:w="4535" w:type="dxa"/>
            <w:vAlign w:val="center"/>
          </w:tcPr>
          <w:p>
            <w:pPr>
              <w:pStyle w:val="13"/>
            </w:pPr>
            <w:r>
              <w:t>一、一般公共服务支出</w:t>
            </w:r>
          </w:p>
        </w:tc>
        <w:tc>
          <w:tcPr>
            <w:tcW w:w="2126" w:type="dxa"/>
            <w:vAlign w:val="center"/>
          </w:tcPr>
          <w:p>
            <w:pPr>
              <w:pStyle w:val="12"/>
            </w:pPr>
            <w:r>
              <w:t>27415074.32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161000.00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4587742.00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126000.00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32289816.32</w:t>
            </w:r>
          </w:p>
        </w:tc>
        <w:tc>
          <w:tcPr>
            <w:tcW w:w="4535" w:type="dxa"/>
            <w:vAlign w:val="center"/>
          </w:tcPr>
          <w:p>
            <w:pPr>
              <w:pStyle w:val="15"/>
            </w:pPr>
            <w:r>
              <w:t>本年支出合计</w:t>
            </w:r>
          </w:p>
        </w:tc>
        <w:tc>
          <w:tcPr>
            <w:tcW w:w="2126" w:type="dxa"/>
            <w:vAlign w:val="center"/>
          </w:tcPr>
          <w:p>
            <w:pPr>
              <w:pStyle w:val="16"/>
            </w:pPr>
            <w:r>
              <w:t>32289816.32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32289816.32</w:t>
            </w:r>
          </w:p>
        </w:tc>
        <w:tc>
          <w:tcPr>
            <w:tcW w:w="4535" w:type="dxa"/>
            <w:vAlign w:val="center"/>
          </w:tcPr>
          <w:p>
            <w:pPr>
              <w:pStyle w:val="15"/>
            </w:pPr>
            <w:r>
              <w:t>支出总计</w:t>
            </w:r>
          </w:p>
        </w:tc>
        <w:tc>
          <w:tcPr>
            <w:tcW w:w="2126" w:type="dxa"/>
            <w:vAlign w:val="center"/>
          </w:tcPr>
          <w:p>
            <w:pPr>
              <w:pStyle w:val="16"/>
            </w:pPr>
            <w:r>
              <w:t>32289816.32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479玉田县玉田镇人民政府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32289816.32</w:t>
            </w:r>
          </w:p>
        </w:tc>
        <w:tc>
          <w:tcPr>
            <w:tcW w:w="1134" w:type="dxa"/>
            <w:vAlign w:val="center"/>
          </w:tcPr>
          <w:p>
            <w:pPr>
              <w:pStyle w:val="16"/>
            </w:pPr>
            <w:r>
              <w:t>32289816.32</w:t>
            </w:r>
          </w:p>
        </w:tc>
        <w:tc>
          <w:tcPr>
            <w:tcW w:w="1134" w:type="dxa"/>
            <w:vAlign w:val="center"/>
          </w:tcPr>
          <w:p>
            <w:pPr>
              <w:pStyle w:val="16"/>
            </w:pPr>
            <w:r>
              <w:t>32289816.32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27415074.32</w:t>
            </w:r>
          </w:p>
        </w:tc>
        <w:tc>
          <w:tcPr>
            <w:tcW w:w="1134" w:type="dxa"/>
            <w:vAlign w:val="center"/>
          </w:tcPr>
          <w:p>
            <w:pPr>
              <w:pStyle w:val="12"/>
            </w:pPr>
            <w:r>
              <w:t>27415074.32</w:t>
            </w:r>
          </w:p>
        </w:tc>
        <w:tc>
          <w:tcPr>
            <w:tcW w:w="1134" w:type="dxa"/>
            <w:vAlign w:val="center"/>
          </w:tcPr>
          <w:p>
            <w:pPr>
              <w:pStyle w:val="12"/>
            </w:pPr>
            <w:r>
              <w:t>27415074.32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2010199</w:t>
            </w:r>
          </w:p>
        </w:tc>
        <w:tc>
          <w:tcPr>
            <w:tcW w:w="1559" w:type="dxa"/>
            <w:vAlign w:val="center"/>
          </w:tcPr>
          <w:p>
            <w:pPr>
              <w:pStyle w:val="13"/>
            </w:pPr>
            <w:r>
              <w:t>其他人大事务支出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23108374.32</w:t>
            </w:r>
          </w:p>
        </w:tc>
        <w:tc>
          <w:tcPr>
            <w:tcW w:w="1134" w:type="dxa"/>
            <w:vAlign w:val="center"/>
          </w:tcPr>
          <w:p>
            <w:pPr>
              <w:pStyle w:val="12"/>
            </w:pPr>
            <w:r>
              <w:t>23108374.32</w:t>
            </w:r>
          </w:p>
        </w:tc>
        <w:tc>
          <w:tcPr>
            <w:tcW w:w="1134" w:type="dxa"/>
            <w:vAlign w:val="center"/>
          </w:tcPr>
          <w:p>
            <w:pPr>
              <w:pStyle w:val="12"/>
            </w:pPr>
            <w:r>
              <w:t>23108374.32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23108374.32</w:t>
            </w:r>
          </w:p>
        </w:tc>
        <w:tc>
          <w:tcPr>
            <w:tcW w:w="1134" w:type="dxa"/>
            <w:vAlign w:val="center"/>
          </w:tcPr>
          <w:p>
            <w:pPr>
              <w:pStyle w:val="12"/>
            </w:pPr>
            <w:r>
              <w:t>23108374.32</w:t>
            </w:r>
          </w:p>
        </w:tc>
        <w:tc>
          <w:tcPr>
            <w:tcW w:w="1134" w:type="dxa"/>
            <w:vAlign w:val="center"/>
          </w:tcPr>
          <w:p>
            <w:pPr>
              <w:pStyle w:val="12"/>
            </w:pPr>
            <w:r>
              <w:t>23108374.32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4286700.00</w:t>
            </w:r>
          </w:p>
        </w:tc>
        <w:tc>
          <w:tcPr>
            <w:tcW w:w="1134" w:type="dxa"/>
            <w:vAlign w:val="center"/>
          </w:tcPr>
          <w:p>
            <w:pPr>
              <w:pStyle w:val="12"/>
            </w:pPr>
            <w:r>
              <w:t>4286700.00</w:t>
            </w:r>
          </w:p>
        </w:tc>
        <w:tc>
          <w:tcPr>
            <w:tcW w:w="1134" w:type="dxa"/>
            <w:vAlign w:val="center"/>
          </w:tcPr>
          <w:p>
            <w:pPr>
              <w:pStyle w:val="12"/>
            </w:pPr>
            <w:r>
              <w:t>4286700.00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2014099</w:t>
            </w:r>
          </w:p>
        </w:tc>
        <w:tc>
          <w:tcPr>
            <w:tcW w:w="1559" w:type="dxa"/>
            <w:vAlign w:val="center"/>
          </w:tcPr>
          <w:p>
            <w:pPr>
              <w:pStyle w:val="13"/>
            </w:pPr>
            <w:r>
              <w:t>其他信访事务支出</w:t>
            </w:r>
          </w:p>
        </w:tc>
        <w:tc>
          <w:tcPr>
            <w:tcW w:w="1134" w:type="dxa"/>
            <w:vAlign w:val="center"/>
          </w:tcPr>
          <w:p>
            <w:pPr>
              <w:pStyle w:val="12"/>
            </w:pPr>
            <w:r>
              <w:t>4286700.00</w:t>
            </w:r>
          </w:p>
        </w:tc>
        <w:tc>
          <w:tcPr>
            <w:tcW w:w="1134" w:type="dxa"/>
            <w:vAlign w:val="center"/>
          </w:tcPr>
          <w:p>
            <w:pPr>
              <w:pStyle w:val="12"/>
            </w:pPr>
            <w:r>
              <w:t>4286700.00</w:t>
            </w:r>
          </w:p>
        </w:tc>
        <w:tc>
          <w:tcPr>
            <w:tcW w:w="1134" w:type="dxa"/>
            <w:vAlign w:val="center"/>
          </w:tcPr>
          <w:p>
            <w:pPr>
              <w:pStyle w:val="12"/>
            </w:pPr>
            <w:r>
              <w:t>4286700.00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161000.00</w:t>
            </w:r>
          </w:p>
        </w:tc>
        <w:tc>
          <w:tcPr>
            <w:tcW w:w="1134" w:type="dxa"/>
            <w:vAlign w:val="center"/>
          </w:tcPr>
          <w:p>
            <w:pPr>
              <w:pStyle w:val="12"/>
            </w:pPr>
            <w:r>
              <w:t>161000.00</w:t>
            </w:r>
          </w:p>
        </w:tc>
        <w:tc>
          <w:tcPr>
            <w:tcW w:w="1134" w:type="dxa"/>
            <w:vAlign w:val="center"/>
          </w:tcPr>
          <w:p>
            <w:pPr>
              <w:pStyle w:val="12"/>
            </w:pPr>
            <w:r>
              <w:t>161000.00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161000.00</w:t>
            </w:r>
          </w:p>
        </w:tc>
        <w:tc>
          <w:tcPr>
            <w:tcW w:w="1134" w:type="dxa"/>
            <w:vAlign w:val="center"/>
          </w:tcPr>
          <w:p>
            <w:pPr>
              <w:pStyle w:val="12"/>
            </w:pPr>
            <w:r>
              <w:t>161000.00</w:t>
            </w:r>
          </w:p>
        </w:tc>
        <w:tc>
          <w:tcPr>
            <w:tcW w:w="1134" w:type="dxa"/>
            <w:vAlign w:val="center"/>
          </w:tcPr>
          <w:p>
            <w:pPr>
              <w:pStyle w:val="12"/>
            </w:pPr>
            <w:r>
              <w:t>161000.00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161000.00</w:t>
            </w:r>
          </w:p>
        </w:tc>
        <w:tc>
          <w:tcPr>
            <w:tcW w:w="1134" w:type="dxa"/>
            <w:vAlign w:val="center"/>
          </w:tcPr>
          <w:p>
            <w:pPr>
              <w:pStyle w:val="12"/>
            </w:pPr>
            <w:r>
              <w:t>161000.00</w:t>
            </w:r>
          </w:p>
        </w:tc>
        <w:tc>
          <w:tcPr>
            <w:tcW w:w="1134" w:type="dxa"/>
            <w:vAlign w:val="center"/>
          </w:tcPr>
          <w:p>
            <w:pPr>
              <w:pStyle w:val="12"/>
            </w:pPr>
            <w:r>
              <w:t>161000.00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4587742.00</w:t>
            </w:r>
          </w:p>
        </w:tc>
        <w:tc>
          <w:tcPr>
            <w:tcW w:w="1134" w:type="dxa"/>
            <w:vAlign w:val="center"/>
          </w:tcPr>
          <w:p>
            <w:pPr>
              <w:pStyle w:val="12"/>
            </w:pPr>
            <w:r>
              <w:t>4587742.00</w:t>
            </w:r>
          </w:p>
        </w:tc>
        <w:tc>
          <w:tcPr>
            <w:tcW w:w="1134" w:type="dxa"/>
            <w:vAlign w:val="center"/>
          </w:tcPr>
          <w:p>
            <w:pPr>
              <w:pStyle w:val="12"/>
            </w:pPr>
            <w:r>
              <w:t>4587742.00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4587742.00</w:t>
            </w:r>
          </w:p>
        </w:tc>
        <w:tc>
          <w:tcPr>
            <w:tcW w:w="1134" w:type="dxa"/>
            <w:vAlign w:val="center"/>
          </w:tcPr>
          <w:p>
            <w:pPr>
              <w:pStyle w:val="12"/>
            </w:pPr>
            <w:r>
              <w:t>4587742.00</w:t>
            </w:r>
          </w:p>
        </w:tc>
        <w:tc>
          <w:tcPr>
            <w:tcW w:w="1134" w:type="dxa"/>
            <w:vAlign w:val="center"/>
          </w:tcPr>
          <w:p>
            <w:pPr>
              <w:pStyle w:val="12"/>
            </w:pPr>
            <w:r>
              <w:t>4587742.00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4587742.00</w:t>
            </w:r>
          </w:p>
        </w:tc>
        <w:tc>
          <w:tcPr>
            <w:tcW w:w="1134" w:type="dxa"/>
            <w:vAlign w:val="center"/>
          </w:tcPr>
          <w:p>
            <w:pPr>
              <w:pStyle w:val="12"/>
            </w:pPr>
            <w:r>
              <w:t>4587742.00</w:t>
            </w:r>
          </w:p>
        </w:tc>
        <w:tc>
          <w:tcPr>
            <w:tcW w:w="1134" w:type="dxa"/>
            <w:vAlign w:val="center"/>
          </w:tcPr>
          <w:p>
            <w:pPr>
              <w:pStyle w:val="12"/>
            </w:pPr>
            <w:r>
              <w:t>4587742.00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126000.00</w:t>
            </w:r>
          </w:p>
        </w:tc>
        <w:tc>
          <w:tcPr>
            <w:tcW w:w="1134" w:type="dxa"/>
            <w:vAlign w:val="center"/>
          </w:tcPr>
          <w:p>
            <w:pPr>
              <w:pStyle w:val="12"/>
            </w:pPr>
            <w:r>
              <w:t>126000.00</w:t>
            </w:r>
          </w:p>
        </w:tc>
        <w:tc>
          <w:tcPr>
            <w:tcW w:w="1134" w:type="dxa"/>
            <w:vAlign w:val="center"/>
          </w:tcPr>
          <w:p>
            <w:pPr>
              <w:pStyle w:val="12"/>
            </w:pPr>
            <w:r>
              <w:t>126000.00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21203</w:t>
            </w:r>
          </w:p>
        </w:tc>
        <w:tc>
          <w:tcPr>
            <w:tcW w:w="1559" w:type="dxa"/>
            <w:vAlign w:val="center"/>
          </w:tcPr>
          <w:p>
            <w:pPr>
              <w:pStyle w:val="13"/>
            </w:pPr>
            <w:r>
              <w:t>城乡社区公共设施</w:t>
            </w:r>
          </w:p>
        </w:tc>
        <w:tc>
          <w:tcPr>
            <w:tcW w:w="1134" w:type="dxa"/>
            <w:vAlign w:val="center"/>
          </w:tcPr>
          <w:p>
            <w:pPr>
              <w:pStyle w:val="12"/>
            </w:pPr>
            <w:r>
              <w:t>126000.00</w:t>
            </w:r>
          </w:p>
        </w:tc>
        <w:tc>
          <w:tcPr>
            <w:tcW w:w="1134" w:type="dxa"/>
            <w:vAlign w:val="center"/>
          </w:tcPr>
          <w:p>
            <w:pPr>
              <w:pStyle w:val="12"/>
            </w:pPr>
            <w:r>
              <w:t>126000.00</w:t>
            </w:r>
          </w:p>
        </w:tc>
        <w:tc>
          <w:tcPr>
            <w:tcW w:w="1134" w:type="dxa"/>
            <w:vAlign w:val="center"/>
          </w:tcPr>
          <w:p>
            <w:pPr>
              <w:pStyle w:val="12"/>
            </w:pPr>
            <w:r>
              <w:t>126000.00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2120399</w:t>
            </w:r>
          </w:p>
        </w:tc>
        <w:tc>
          <w:tcPr>
            <w:tcW w:w="1559" w:type="dxa"/>
            <w:vAlign w:val="center"/>
          </w:tcPr>
          <w:p>
            <w:pPr>
              <w:pStyle w:val="13"/>
            </w:pPr>
            <w:r>
              <w:t>其他城乡社区公共设施支出</w:t>
            </w:r>
          </w:p>
        </w:tc>
        <w:tc>
          <w:tcPr>
            <w:tcW w:w="1134" w:type="dxa"/>
            <w:vAlign w:val="center"/>
          </w:tcPr>
          <w:p>
            <w:pPr>
              <w:pStyle w:val="12"/>
            </w:pPr>
            <w:r>
              <w:t>126000.00</w:t>
            </w:r>
          </w:p>
        </w:tc>
        <w:tc>
          <w:tcPr>
            <w:tcW w:w="1134" w:type="dxa"/>
            <w:vAlign w:val="center"/>
          </w:tcPr>
          <w:p>
            <w:pPr>
              <w:pStyle w:val="12"/>
            </w:pPr>
            <w:r>
              <w:t>126000.00</w:t>
            </w:r>
          </w:p>
        </w:tc>
        <w:tc>
          <w:tcPr>
            <w:tcW w:w="1134" w:type="dxa"/>
            <w:vAlign w:val="center"/>
          </w:tcPr>
          <w:p>
            <w:pPr>
              <w:pStyle w:val="12"/>
            </w:pPr>
            <w:r>
              <w:t>126000.00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479玉田县玉田镇人民政府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32289816.32</w:t>
            </w:r>
          </w:p>
        </w:tc>
        <w:tc>
          <w:tcPr>
            <w:tcW w:w="1361" w:type="dxa"/>
            <w:vAlign w:val="center"/>
          </w:tcPr>
          <w:p>
            <w:pPr>
              <w:pStyle w:val="16"/>
            </w:pPr>
            <w:r>
              <w:t>23038374.32</w:t>
            </w:r>
          </w:p>
        </w:tc>
        <w:tc>
          <w:tcPr>
            <w:tcW w:w="1361" w:type="dxa"/>
            <w:vAlign w:val="center"/>
          </w:tcPr>
          <w:p>
            <w:pPr>
              <w:pStyle w:val="16"/>
            </w:pPr>
            <w:r>
              <w:t>9251442.00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27415074.32</w:t>
            </w:r>
          </w:p>
        </w:tc>
        <w:tc>
          <w:tcPr>
            <w:tcW w:w="1361" w:type="dxa"/>
            <w:vAlign w:val="center"/>
          </w:tcPr>
          <w:p>
            <w:pPr>
              <w:pStyle w:val="12"/>
            </w:pPr>
            <w:r>
              <w:t>23038374.32</w:t>
            </w:r>
          </w:p>
        </w:tc>
        <w:tc>
          <w:tcPr>
            <w:tcW w:w="1361" w:type="dxa"/>
            <w:vAlign w:val="center"/>
          </w:tcPr>
          <w:p>
            <w:pPr>
              <w:pStyle w:val="12"/>
            </w:pPr>
            <w:r>
              <w:t>4376700.00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2010199</w:t>
            </w:r>
          </w:p>
        </w:tc>
        <w:tc>
          <w:tcPr>
            <w:tcW w:w="4535" w:type="dxa"/>
            <w:vAlign w:val="center"/>
          </w:tcPr>
          <w:p>
            <w:pPr>
              <w:pStyle w:val="13"/>
            </w:pPr>
            <w:r>
              <w:t>其他人大事务支出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23108374.32</w:t>
            </w:r>
          </w:p>
        </w:tc>
        <w:tc>
          <w:tcPr>
            <w:tcW w:w="1361" w:type="dxa"/>
            <w:vAlign w:val="center"/>
          </w:tcPr>
          <w:p>
            <w:pPr>
              <w:pStyle w:val="12"/>
            </w:pPr>
            <w:r>
              <w:t>23038374.32</w:t>
            </w:r>
          </w:p>
        </w:tc>
        <w:tc>
          <w:tcPr>
            <w:tcW w:w="1361" w:type="dxa"/>
            <w:vAlign w:val="center"/>
          </w:tcPr>
          <w:p>
            <w:pPr>
              <w:pStyle w:val="12"/>
            </w:pPr>
            <w:r>
              <w:t>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23108374.32</w:t>
            </w:r>
          </w:p>
        </w:tc>
        <w:tc>
          <w:tcPr>
            <w:tcW w:w="1361" w:type="dxa"/>
            <w:vAlign w:val="center"/>
          </w:tcPr>
          <w:p>
            <w:pPr>
              <w:pStyle w:val="12"/>
            </w:pPr>
            <w:r>
              <w:t>23038374.32</w:t>
            </w:r>
          </w:p>
        </w:tc>
        <w:tc>
          <w:tcPr>
            <w:tcW w:w="1361" w:type="dxa"/>
            <w:vAlign w:val="center"/>
          </w:tcPr>
          <w:p>
            <w:pPr>
              <w:pStyle w:val="12"/>
            </w:pPr>
            <w:r>
              <w:t>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4286700.00</w:t>
            </w:r>
          </w:p>
        </w:tc>
        <w:tc>
          <w:tcPr>
            <w:tcW w:w="1361" w:type="dxa"/>
            <w:vAlign w:val="center"/>
          </w:tcPr>
          <w:p>
            <w:pPr>
              <w:pStyle w:val="12"/>
            </w:pPr>
          </w:p>
        </w:tc>
        <w:tc>
          <w:tcPr>
            <w:tcW w:w="1361" w:type="dxa"/>
            <w:vAlign w:val="center"/>
          </w:tcPr>
          <w:p>
            <w:pPr>
              <w:pStyle w:val="12"/>
            </w:pPr>
            <w:r>
              <w:t>4286700.00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2014099</w:t>
            </w:r>
          </w:p>
        </w:tc>
        <w:tc>
          <w:tcPr>
            <w:tcW w:w="4535" w:type="dxa"/>
            <w:vAlign w:val="center"/>
          </w:tcPr>
          <w:p>
            <w:pPr>
              <w:pStyle w:val="13"/>
            </w:pPr>
            <w:r>
              <w:t>其他信访事务支出</w:t>
            </w:r>
          </w:p>
        </w:tc>
        <w:tc>
          <w:tcPr>
            <w:tcW w:w="1361" w:type="dxa"/>
            <w:vAlign w:val="center"/>
          </w:tcPr>
          <w:p>
            <w:pPr>
              <w:pStyle w:val="12"/>
            </w:pPr>
            <w:r>
              <w:t>4286700.00</w:t>
            </w:r>
          </w:p>
        </w:tc>
        <w:tc>
          <w:tcPr>
            <w:tcW w:w="1361" w:type="dxa"/>
            <w:vAlign w:val="center"/>
          </w:tcPr>
          <w:p>
            <w:pPr>
              <w:pStyle w:val="12"/>
            </w:pPr>
          </w:p>
        </w:tc>
        <w:tc>
          <w:tcPr>
            <w:tcW w:w="1361" w:type="dxa"/>
            <w:vAlign w:val="center"/>
          </w:tcPr>
          <w:p>
            <w:pPr>
              <w:pStyle w:val="12"/>
            </w:pPr>
            <w:r>
              <w:t>4286700.00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161000.00</w:t>
            </w:r>
          </w:p>
        </w:tc>
        <w:tc>
          <w:tcPr>
            <w:tcW w:w="1361" w:type="dxa"/>
            <w:vAlign w:val="center"/>
          </w:tcPr>
          <w:p>
            <w:pPr>
              <w:pStyle w:val="12"/>
            </w:pPr>
          </w:p>
        </w:tc>
        <w:tc>
          <w:tcPr>
            <w:tcW w:w="1361" w:type="dxa"/>
            <w:vAlign w:val="center"/>
          </w:tcPr>
          <w:p>
            <w:pPr>
              <w:pStyle w:val="12"/>
            </w:pPr>
            <w:r>
              <w:t>161000.00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161000.00</w:t>
            </w:r>
          </w:p>
        </w:tc>
        <w:tc>
          <w:tcPr>
            <w:tcW w:w="1361" w:type="dxa"/>
            <w:vAlign w:val="center"/>
          </w:tcPr>
          <w:p>
            <w:pPr>
              <w:pStyle w:val="12"/>
            </w:pPr>
          </w:p>
        </w:tc>
        <w:tc>
          <w:tcPr>
            <w:tcW w:w="1361" w:type="dxa"/>
            <w:vAlign w:val="center"/>
          </w:tcPr>
          <w:p>
            <w:pPr>
              <w:pStyle w:val="12"/>
            </w:pPr>
            <w:r>
              <w:t>161000.00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161000.00</w:t>
            </w:r>
          </w:p>
        </w:tc>
        <w:tc>
          <w:tcPr>
            <w:tcW w:w="1361" w:type="dxa"/>
            <w:vAlign w:val="center"/>
          </w:tcPr>
          <w:p>
            <w:pPr>
              <w:pStyle w:val="12"/>
            </w:pPr>
          </w:p>
        </w:tc>
        <w:tc>
          <w:tcPr>
            <w:tcW w:w="1361" w:type="dxa"/>
            <w:vAlign w:val="center"/>
          </w:tcPr>
          <w:p>
            <w:pPr>
              <w:pStyle w:val="12"/>
            </w:pPr>
            <w:r>
              <w:t>161000.00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4587742.00</w:t>
            </w:r>
          </w:p>
        </w:tc>
        <w:tc>
          <w:tcPr>
            <w:tcW w:w="1361" w:type="dxa"/>
            <w:vAlign w:val="center"/>
          </w:tcPr>
          <w:p>
            <w:pPr>
              <w:pStyle w:val="12"/>
            </w:pPr>
          </w:p>
        </w:tc>
        <w:tc>
          <w:tcPr>
            <w:tcW w:w="1361" w:type="dxa"/>
            <w:vAlign w:val="center"/>
          </w:tcPr>
          <w:p>
            <w:pPr>
              <w:pStyle w:val="12"/>
            </w:pPr>
            <w:r>
              <w:t>4587742.00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4587742.00</w:t>
            </w:r>
          </w:p>
        </w:tc>
        <w:tc>
          <w:tcPr>
            <w:tcW w:w="1361" w:type="dxa"/>
            <w:vAlign w:val="center"/>
          </w:tcPr>
          <w:p>
            <w:pPr>
              <w:pStyle w:val="12"/>
            </w:pPr>
          </w:p>
        </w:tc>
        <w:tc>
          <w:tcPr>
            <w:tcW w:w="1361" w:type="dxa"/>
            <w:vAlign w:val="center"/>
          </w:tcPr>
          <w:p>
            <w:pPr>
              <w:pStyle w:val="12"/>
            </w:pPr>
            <w:r>
              <w:t>4587742.00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4587742.00</w:t>
            </w:r>
          </w:p>
        </w:tc>
        <w:tc>
          <w:tcPr>
            <w:tcW w:w="1361" w:type="dxa"/>
            <w:vAlign w:val="center"/>
          </w:tcPr>
          <w:p>
            <w:pPr>
              <w:pStyle w:val="12"/>
            </w:pPr>
          </w:p>
        </w:tc>
        <w:tc>
          <w:tcPr>
            <w:tcW w:w="1361" w:type="dxa"/>
            <w:vAlign w:val="center"/>
          </w:tcPr>
          <w:p>
            <w:pPr>
              <w:pStyle w:val="12"/>
            </w:pPr>
            <w:r>
              <w:t>4587742.00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126000.00</w:t>
            </w:r>
          </w:p>
        </w:tc>
        <w:tc>
          <w:tcPr>
            <w:tcW w:w="1361" w:type="dxa"/>
            <w:vAlign w:val="center"/>
          </w:tcPr>
          <w:p>
            <w:pPr>
              <w:pStyle w:val="12"/>
            </w:pPr>
          </w:p>
        </w:tc>
        <w:tc>
          <w:tcPr>
            <w:tcW w:w="1361" w:type="dxa"/>
            <w:vAlign w:val="center"/>
          </w:tcPr>
          <w:p>
            <w:pPr>
              <w:pStyle w:val="12"/>
            </w:pPr>
            <w:r>
              <w:t>126000.00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21203</w:t>
            </w:r>
          </w:p>
        </w:tc>
        <w:tc>
          <w:tcPr>
            <w:tcW w:w="4535" w:type="dxa"/>
            <w:vAlign w:val="center"/>
          </w:tcPr>
          <w:p>
            <w:pPr>
              <w:pStyle w:val="13"/>
            </w:pPr>
            <w:r>
              <w:t>城乡社区公共设施</w:t>
            </w:r>
          </w:p>
        </w:tc>
        <w:tc>
          <w:tcPr>
            <w:tcW w:w="1361" w:type="dxa"/>
            <w:vAlign w:val="center"/>
          </w:tcPr>
          <w:p>
            <w:pPr>
              <w:pStyle w:val="12"/>
            </w:pPr>
            <w:r>
              <w:t>126000.00</w:t>
            </w:r>
          </w:p>
        </w:tc>
        <w:tc>
          <w:tcPr>
            <w:tcW w:w="1361" w:type="dxa"/>
            <w:vAlign w:val="center"/>
          </w:tcPr>
          <w:p>
            <w:pPr>
              <w:pStyle w:val="12"/>
            </w:pPr>
          </w:p>
        </w:tc>
        <w:tc>
          <w:tcPr>
            <w:tcW w:w="1361" w:type="dxa"/>
            <w:vAlign w:val="center"/>
          </w:tcPr>
          <w:p>
            <w:pPr>
              <w:pStyle w:val="12"/>
            </w:pPr>
            <w:r>
              <w:t>126000.00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2120399</w:t>
            </w:r>
          </w:p>
        </w:tc>
        <w:tc>
          <w:tcPr>
            <w:tcW w:w="4535" w:type="dxa"/>
            <w:vAlign w:val="center"/>
          </w:tcPr>
          <w:p>
            <w:pPr>
              <w:pStyle w:val="13"/>
            </w:pPr>
            <w:r>
              <w:t>其他城乡社区公共设施支出</w:t>
            </w:r>
          </w:p>
        </w:tc>
        <w:tc>
          <w:tcPr>
            <w:tcW w:w="1361" w:type="dxa"/>
            <w:vAlign w:val="center"/>
          </w:tcPr>
          <w:p>
            <w:pPr>
              <w:pStyle w:val="12"/>
            </w:pPr>
            <w:r>
              <w:t>126000.00</w:t>
            </w:r>
          </w:p>
        </w:tc>
        <w:tc>
          <w:tcPr>
            <w:tcW w:w="1361" w:type="dxa"/>
            <w:vAlign w:val="center"/>
          </w:tcPr>
          <w:p>
            <w:pPr>
              <w:pStyle w:val="12"/>
            </w:pPr>
          </w:p>
        </w:tc>
        <w:tc>
          <w:tcPr>
            <w:tcW w:w="1361" w:type="dxa"/>
            <w:vAlign w:val="center"/>
          </w:tcPr>
          <w:p>
            <w:pPr>
              <w:pStyle w:val="12"/>
            </w:pPr>
            <w:r>
              <w:t>126000.00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479玉田县玉田镇人民政府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32289816.32</w:t>
            </w:r>
          </w:p>
        </w:tc>
        <w:tc>
          <w:tcPr>
            <w:tcW w:w="3402" w:type="dxa"/>
            <w:vAlign w:val="center"/>
          </w:tcPr>
          <w:p>
            <w:pPr>
              <w:pStyle w:val="13"/>
            </w:pPr>
            <w:r>
              <w:t>一、一般公共服务支出</w:t>
            </w:r>
          </w:p>
        </w:tc>
        <w:tc>
          <w:tcPr>
            <w:tcW w:w="1474" w:type="dxa"/>
            <w:vAlign w:val="center"/>
          </w:tcPr>
          <w:p>
            <w:pPr>
              <w:pStyle w:val="12"/>
            </w:pPr>
            <w:r>
              <w:t>27415074.32</w:t>
            </w:r>
          </w:p>
        </w:tc>
        <w:tc>
          <w:tcPr>
            <w:tcW w:w="1474" w:type="dxa"/>
            <w:vAlign w:val="center"/>
          </w:tcPr>
          <w:p>
            <w:pPr>
              <w:pStyle w:val="12"/>
            </w:pPr>
            <w:r>
              <w:t>27415074.32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161000.00</w:t>
            </w:r>
          </w:p>
        </w:tc>
        <w:tc>
          <w:tcPr>
            <w:tcW w:w="1474" w:type="dxa"/>
            <w:vAlign w:val="center"/>
          </w:tcPr>
          <w:p>
            <w:pPr>
              <w:pStyle w:val="12"/>
            </w:pPr>
            <w:r>
              <w:t>161000.00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4587742.00</w:t>
            </w:r>
          </w:p>
        </w:tc>
        <w:tc>
          <w:tcPr>
            <w:tcW w:w="1474" w:type="dxa"/>
            <w:vAlign w:val="center"/>
          </w:tcPr>
          <w:p>
            <w:pPr>
              <w:pStyle w:val="12"/>
            </w:pPr>
            <w:r>
              <w:t>4587742.00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126000.00</w:t>
            </w:r>
          </w:p>
        </w:tc>
        <w:tc>
          <w:tcPr>
            <w:tcW w:w="1474" w:type="dxa"/>
            <w:vAlign w:val="center"/>
          </w:tcPr>
          <w:p>
            <w:pPr>
              <w:pStyle w:val="12"/>
            </w:pPr>
            <w:r>
              <w:t>126000.00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32289816.32</w:t>
            </w:r>
          </w:p>
        </w:tc>
        <w:tc>
          <w:tcPr>
            <w:tcW w:w="3402" w:type="dxa"/>
            <w:vAlign w:val="center"/>
          </w:tcPr>
          <w:p>
            <w:pPr>
              <w:pStyle w:val="15"/>
            </w:pPr>
            <w:r>
              <w:t>本年支出合计</w:t>
            </w:r>
          </w:p>
        </w:tc>
        <w:tc>
          <w:tcPr>
            <w:tcW w:w="1474" w:type="dxa"/>
            <w:vAlign w:val="center"/>
          </w:tcPr>
          <w:p>
            <w:pPr>
              <w:pStyle w:val="16"/>
            </w:pPr>
            <w:r>
              <w:t>32289816.32</w:t>
            </w:r>
          </w:p>
        </w:tc>
        <w:tc>
          <w:tcPr>
            <w:tcW w:w="1474" w:type="dxa"/>
            <w:vAlign w:val="center"/>
          </w:tcPr>
          <w:p>
            <w:pPr>
              <w:pStyle w:val="16"/>
            </w:pPr>
            <w:r>
              <w:t>32289816.32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32289816.32</w:t>
            </w:r>
          </w:p>
        </w:tc>
        <w:tc>
          <w:tcPr>
            <w:tcW w:w="3402" w:type="dxa"/>
            <w:vAlign w:val="center"/>
          </w:tcPr>
          <w:p>
            <w:pPr>
              <w:pStyle w:val="15"/>
            </w:pPr>
            <w:r>
              <w:t>支出总计</w:t>
            </w:r>
          </w:p>
        </w:tc>
        <w:tc>
          <w:tcPr>
            <w:tcW w:w="1474" w:type="dxa"/>
            <w:vAlign w:val="center"/>
          </w:tcPr>
          <w:p>
            <w:pPr>
              <w:pStyle w:val="16"/>
            </w:pPr>
            <w:r>
              <w:t>32289816.32</w:t>
            </w:r>
          </w:p>
        </w:tc>
        <w:tc>
          <w:tcPr>
            <w:tcW w:w="1474" w:type="dxa"/>
            <w:vAlign w:val="center"/>
          </w:tcPr>
          <w:p>
            <w:pPr>
              <w:pStyle w:val="16"/>
            </w:pPr>
            <w:r>
              <w:t>32289816.32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479玉田县玉田镇人民政府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32289816.32</w:t>
            </w:r>
          </w:p>
        </w:tc>
        <w:tc>
          <w:tcPr>
            <w:tcW w:w="2551" w:type="dxa"/>
            <w:vAlign w:val="center"/>
          </w:tcPr>
          <w:p>
            <w:pPr>
              <w:pStyle w:val="16"/>
            </w:pPr>
            <w:r>
              <w:t>23038374.32</w:t>
            </w:r>
          </w:p>
        </w:tc>
        <w:tc>
          <w:tcPr>
            <w:tcW w:w="2551" w:type="dxa"/>
            <w:vAlign w:val="center"/>
          </w:tcPr>
          <w:p>
            <w:pPr>
              <w:pStyle w:val="16"/>
            </w:pPr>
            <w:r>
              <w:t>9251442.00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27415074.32</w:t>
            </w:r>
          </w:p>
        </w:tc>
        <w:tc>
          <w:tcPr>
            <w:tcW w:w="2551" w:type="dxa"/>
            <w:vAlign w:val="center"/>
          </w:tcPr>
          <w:p>
            <w:pPr>
              <w:pStyle w:val="12"/>
            </w:pPr>
            <w:r>
              <w:t>23038374.32</w:t>
            </w:r>
          </w:p>
        </w:tc>
        <w:tc>
          <w:tcPr>
            <w:tcW w:w="2551" w:type="dxa"/>
            <w:vAlign w:val="center"/>
          </w:tcPr>
          <w:p>
            <w:pPr>
              <w:pStyle w:val="12"/>
            </w:pPr>
            <w:r>
              <w:t>4376700.00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2010199</w:t>
            </w:r>
          </w:p>
        </w:tc>
        <w:tc>
          <w:tcPr>
            <w:tcW w:w="4535" w:type="dxa"/>
            <w:vAlign w:val="center"/>
          </w:tcPr>
          <w:p>
            <w:pPr>
              <w:pStyle w:val="13"/>
            </w:pPr>
            <w:r>
              <w:t>其他人大事务支出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23108374.32</w:t>
            </w:r>
          </w:p>
        </w:tc>
        <w:tc>
          <w:tcPr>
            <w:tcW w:w="2551" w:type="dxa"/>
            <w:vAlign w:val="center"/>
          </w:tcPr>
          <w:p>
            <w:pPr>
              <w:pStyle w:val="12"/>
            </w:pPr>
            <w:r>
              <w:t>23038374.32</w:t>
            </w: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23108374.32</w:t>
            </w:r>
          </w:p>
        </w:tc>
        <w:tc>
          <w:tcPr>
            <w:tcW w:w="2551" w:type="dxa"/>
            <w:vAlign w:val="center"/>
          </w:tcPr>
          <w:p>
            <w:pPr>
              <w:pStyle w:val="12"/>
            </w:pPr>
            <w:r>
              <w:t>23038374.32</w:t>
            </w: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4286700.00</w:t>
            </w:r>
          </w:p>
        </w:tc>
        <w:tc>
          <w:tcPr>
            <w:tcW w:w="2551" w:type="dxa"/>
            <w:vAlign w:val="center"/>
          </w:tcPr>
          <w:p>
            <w:pPr>
              <w:pStyle w:val="12"/>
            </w:pPr>
          </w:p>
        </w:tc>
        <w:tc>
          <w:tcPr>
            <w:tcW w:w="2551" w:type="dxa"/>
            <w:vAlign w:val="center"/>
          </w:tcPr>
          <w:p>
            <w:pPr>
              <w:pStyle w:val="12"/>
            </w:pPr>
            <w:r>
              <w:t>4286700.00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2014099</w:t>
            </w:r>
          </w:p>
        </w:tc>
        <w:tc>
          <w:tcPr>
            <w:tcW w:w="4535" w:type="dxa"/>
            <w:vAlign w:val="center"/>
          </w:tcPr>
          <w:p>
            <w:pPr>
              <w:pStyle w:val="13"/>
            </w:pPr>
            <w:r>
              <w:t>其他信访事务支出</w:t>
            </w:r>
          </w:p>
        </w:tc>
        <w:tc>
          <w:tcPr>
            <w:tcW w:w="2551" w:type="dxa"/>
            <w:vAlign w:val="center"/>
          </w:tcPr>
          <w:p>
            <w:pPr>
              <w:pStyle w:val="12"/>
            </w:pPr>
            <w:r>
              <w:t>4286700.00</w:t>
            </w:r>
          </w:p>
        </w:tc>
        <w:tc>
          <w:tcPr>
            <w:tcW w:w="2551" w:type="dxa"/>
            <w:vAlign w:val="center"/>
          </w:tcPr>
          <w:p>
            <w:pPr>
              <w:pStyle w:val="12"/>
            </w:pPr>
          </w:p>
        </w:tc>
        <w:tc>
          <w:tcPr>
            <w:tcW w:w="2551" w:type="dxa"/>
            <w:vAlign w:val="center"/>
          </w:tcPr>
          <w:p>
            <w:pPr>
              <w:pStyle w:val="12"/>
            </w:pPr>
            <w:r>
              <w:t>4286700.00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161000.00</w:t>
            </w:r>
          </w:p>
        </w:tc>
        <w:tc>
          <w:tcPr>
            <w:tcW w:w="2551" w:type="dxa"/>
            <w:vAlign w:val="center"/>
          </w:tcPr>
          <w:p>
            <w:pPr>
              <w:pStyle w:val="12"/>
            </w:pPr>
          </w:p>
        </w:tc>
        <w:tc>
          <w:tcPr>
            <w:tcW w:w="2551" w:type="dxa"/>
            <w:vAlign w:val="center"/>
          </w:tcPr>
          <w:p>
            <w:pPr>
              <w:pStyle w:val="12"/>
            </w:pPr>
            <w:r>
              <w:t>161000.00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161000.00</w:t>
            </w:r>
          </w:p>
        </w:tc>
        <w:tc>
          <w:tcPr>
            <w:tcW w:w="2551" w:type="dxa"/>
            <w:vAlign w:val="center"/>
          </w:tcPr>
          <w:p>
            <w:pPr>
              <w:pStyle w:val="12"/>
            </w:pPr>
          </w:p>
        </w:tc>
        <w:tc>
          <w:tcPr>
            <w:tcW w:w="2551" w:type="dxa"/>
            <w:vAlign w:val="center"/>
          </w:tcPr>
          <w:p>
            <w:pPr>
              <w:pStyle w:val="12"/>
            </w:pPr>
            <w:r>
              <w:t>161000.00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161000.00</w:t>
            </w:r>
          </w:p>
        </w:tc>
        <w:tc>
          <w:tcPr>
            <w:tcW w:w="2551" w:type="dxa"/>
            <w:vAlign w:val="center"/>
          </w:tcPr>
          <w:p>
            <w:pPr>
              <w:pStyle w:val="12"/>
            </w:pPr>
          </w:p>
        </w:tc>
        <w:tc>
          <w:tcPr>
            <w:tcW w:w="2551" w:type="dxa"/>
            <w:vAlign w:val="center"/>
          </w:tcPr>
          <w:p>
            <w:pPr>
              <w:pStyle w:val="12"/>
            </w:pPr>
            <w:r>
              <w:t>161000.00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4587742.00</w:t>
            </w:r>
          </w:p>
        </w:tc>
        <w:tc>
          <w:tcPr>
            <w:tcW w:w="2551" w:type="dxa"/>
            <w:vAlign w:val="center"/>
          </w:tcPr>
          <w:p>
            <w:pPr>
              <w:pStyle w:val="12"/>
            </w:pPr>
          </w:p>
        </w:tc>
        <w:tc>
          <w:tcPr>
            <w:tcW w:w="2551" w:type="dxa"/>
            <w:vAlign w:val="center"/>
          </w:tcPr>
          <w:p>
            <w:pPr>
              <w:pStyle w:val="12"/>
            </w:pPr>
            <w:r>
              <w:t>4587742.00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4587742.00</w:t>
            </w:r>
          </w:p>
        </w:tc>
        <w:tc>
          <w:tcPr>
            <w:tcW w:w="2551" w:type="dxa"/>
            <w:vAlign w:val="center"/>
          </w:tcPr>
          <w:p>
            <w:pPr>
              <w:pStyle w:val="12"/>
            </w:pPr>
          </w:p>
        </w:tc>
        <w:tc>
          <w:tcPr>
            <w:tcW w:w="2551" w:type="dxa"/>
            <w:vAlign w:val="center"/>
          </w:tcPr>
          <w:p>
            <w:pPr>
              <w:pStyle w:val="12"/>
            </w:pPr>
            <w:r>
              <w:t>4587742.00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4587742.00</w:t>
            </w:r>
          </w:p>
        </w:tc>
        <w:tc>
          <w:tcPr>
            <w:tcW w:w="2551" w:type="dxa"/>
            <w:vAlign w:val="center"/>
          </w:tcPr>
          <w:p>
            <w:pPr>
              <w:pStyle w:val="12"/>
            </w:pPr>
          </w:p>
        </w:tc>
        <w:tc>
          <w:tcPr>
            <w:tcW w:w="2551" w:type="dxa"/>
            <w:vAlign w:val="center"/>
          </w:tcPr>
          <w:p>
            <w:pPr>
              <w:pStyle w:val="12"/>
            </w:pPr>
            <w:r>
              <w:t>4587742.00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126000.00</w:t>
            </w:r>
          </w:p>
        </w:tc>
        <w:tc>
          <w:tcPr>
            <w:tcW w:w="2551" w:type="dxa"/>
            <w:vAlign w:val="center"/>
          </w:tcPr>
          <w:p>
            <w:pPr>
              <w:pStyle w:val="12"/>
            </w:pPr>
          </w:p>
        </w:tc>
        <w:tc>
          <w:tcPr>
            <w:tcW w:w="2551" w:type="dxa"/>
            <w:vAlign w:val="center"/>
          </w:tcPr>
          <w:p>
            <w:pPr>
              <w:pStyle w:val="12"/>
            </w:pPr>
            <w:r>
              <w:t>126000.00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21203</w:t>
            </w:r>
          </w:p>
        </w:tc>
        <w:tc>
          <w:tcPr>
            <w:tcW w:w="4535" w:type="dxa"/>
            <w:vAlign w:val="center"/>
          </w:tcPr>
          <w:p>
            <w:pPr>
              <w:pStyle w:val="13"/>
            </w:pPr>
            <w:r>
              <w:t>城乡社区公共设施</w:t>
            </w:r>
          </w:p>
        </w:tc>
        <w:tc>
          <w:tcPr>
            <w:tcW w:w="2551" w:type="dxa"/>
            <w:vAlign w:val="center"/>
          </w:tcPr>
          <w:p>
            <w:pPr>
              <w:pStyle w:val="12"/>
            </w:pPr>
            <w:r>
              <w:t>126000.00</w:t>
            </w:r>
          </w:p>
        </w:tc>
        <w:tc>
          <w:tcPr>
            <w:tcW w:w="2551" w:type="dxa"/>
            <w:vAlign w:val="center"/>
          </w:tcPr>
          <w:p>
            <w:pPr>
              <w:pStyle w:val="12"/>
            </w:pPr>
          </w:p>
        </w:tc>
        <w:tc>
          <w:tcPr>
            <w:tcW w:w="2551" w:type="dxa"/>
            <w:vAlign w:val="center"/>
          </w:tcPr>
          <w:p>
            <w:pPr>
              <w:pStyle w:val="12"/>
            </w:pPr>
            <w:r>
              <w:t>126000.00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2120399</w:t>
            </w:r>
          </w:p>
        </w:tc>
        <w:tc>
          <w:tcPr>
            <w:tcW w:w="4535" w:type="dxa"/>
            <w:vAlign w:val="center"/>
          </w:tcPr>
          <w:p>
            <w:pPr>
              <w:pStyle w:val="13"/>
            </w:pPr>
            <w:r>
              <w:t>其他城乡社区公共设施支出</w:t>
            </w:r>
          </w:p>
        </w:tc>
        <w:tc>
          <w:tcPr>
            <w:tcW w:w="2551" w:type="dxa"/>
            <w:vAlign w:val="center"/>
          </w:tcPr>
          <w:p>
            <w:pPr>
              <w:pStyle w:val="12"/>
            </w:pPr>
            <w:r>
              <w:t>126000.00</w:t>
            </w:r>
          </w:p>
        </w:tc>
        <w:tc>
          <w:tcPr>
            <w:tcW w:w="2551" w:type="dxa"/>
            <w:vAlign w:val="center"/>
          </w:tcPr>
          <w:p>
            <w:pPr>
              <w:pStyle w:val="12"/>
            </w:pPr>
          </w:p>
        </w:tc>
        <w:tc>
          <w:tcPr>
            <w:tcW w:w="2551" w:type="dxa"/>
            <w:vAlign w:val="center"/>
          </w:tcPr>
          <w:p>
            <w:pPr>
              <w:pStyle w:val="12"/>
            </w:pPr>
            <w:r>
              <w:t>126000.00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479玉田县玉田镇人民政府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23038374.32</w:t>
            </w:r>
          </w:p>
        </w:tc>
        <w:tc>
          <w:tcPr>
            <w:tcW w:w="2551" w:type="dxa"/>
            <w:vAlign w:val="center"/>
          </w:tcPr>
          <w:p>
            <w:pPr>
              <w:pStyle w:val="16"/>
            </w:pPr>
            <w:r>
              <w:t>21388548.41</w:t>
            </w:r>
          </w:p>
        </w:tc>
        <w:tc>
          <w:tcPr>
            <w:tcW w:w="2551" w:type="dxa"/>
            <w:vAlign w:val="center"/>
          </w:tcPr>
          <w:p>
            <w:pPr>
              <w:pStyle w:val="16"/>
            </w:pPr>
            <w:r>
              <w:t>1649825.91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20396014.97</w:t>
            </w:r>
          </w:p>
        </w:tc>
        <w:tc>
          <w:tcPr>
            <w:tcW w:w="2551" w:type="dxa"/>
            <w:vAlign w:val="center"/>
          </w:tcPr>
          <w:p>
            <w:pPr>
              <w:pStyle w:val="12"/>
            </w:pPr>
            <w:r>
              <w:t>20396014.97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3949277.49</w:t>
            </w:r>
          </w:p>
        </w:tc>
        <w:tc>
          <w:tcPr>
            <w:tcW w:w="2551" w:type="dxa"/>
            <w:vAlign w:val="center"/>
          </w:tcPr>
          <w:p>
            <w:pPr>
              <w:pStyle w:val="12"/>
            </w:pPr>
            <w:r>
              <w:t>3949277.49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2605811.28</w:t>
            </w:r>
          </w:p>
        </w:tc>
        <w:tc>
          <w:tcPr>
            <w:tcW w:w="2551" w:type="dxa"/>
            <w:vAlign w:val="center"/>
          </w:tcPr>
          <w:p>
            <w:pPr>
              <w:pStyle w:val="12"/>
            </w:pPr>
            <w:r>
              <w:t>2605811.28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615813.00</w:t>
            </w:r>
          </w:p>
        </w:tc>
        <w:tc>
          <w:tcPr>
            <w:tcW w:w="2551" w:type="dxa"/>
            <w:vAlign w:val="center"/>
          </w:tcPr>
          <w:p>
            <w:pPr>
              <w:pStyle w:val="12"/>
            </w:pPr>
            <w:r>
              <w:t>615813.00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1874123.86</w:t>
            </w:r>
          </w:p>
        </w:tc>
        <w:tc>
          <w:tcPr>
            <w:tcW w:w="2551" w:type="dxa"/>
            <w:vAlign w:val="center"/>
          </w:tcPr>
          <w:p>
            <w:pPr>
              <w:pStyle w:val="12"/>
            </w:pPr>
            <w:r>
              <w:t>1874123.86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1198094.86</w:t>
            </w:r>
          </w:p>
        </w:tc>
        <w:tc>
          <w:tcPr>
            <w:tcW w:w="2551" w:type="dxa"/>
            <w:vAlign w:val="center"/>
          </w:tcPr>
          <w:p>
            <w:pPr>
              <w:pStyle w:val="12"/>
            </w:pPr>
            <w:r>
              <w:t>1198094.86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792555.62</w:t>
            </w:r>
          </w:p>
        </w:tc>
        <w:tc>
          <w:tcPr>
            <w:tcW w:w="2551" w:type="dxa"/>
            <w:vAlign w:val="center"/>
          </w:tcPr>
          <w:p>
            <w:pPr>
              <w:pStyle w:val="12"/>
            </w:pPr>
            <w:r>
              <w:t>792555.62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526984.07</w:t>
            </w:r>
          </w:p>
        </w:tc>
        <w:tc>
          <w:tcPr>
            <w:tcW w:w="2551" w:type="dxa"/>
            <w:vAlign w:val="center"/>
          </w:tcPr>
          <w:p>
            <w:pPr>
              <w:pStyle w:val="12"/>
            </w:pPr>
            <w:r>
              <w:t>526984.07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131746.02</w:t>
            </w:r>
          </w:p>
        </w:tc>
        <w:tc>
          <w:tcPr>
            <w:tcW w:w="2551" w:type="dxa"/>
            <w:vAlign w:val="center"/>
          </w:tcPr>
          <w:p>
            <w:pPr>
              <w:pStyle w:val="12"/>
            </w:pPr>
            <w:r>
              <w:t>131746.02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939259.78</w:t>
            </w:r>
          </w:p>
        </w:tc>
        <w:tc>
          <w:tcPr>
            <w:tcW w:w="2551" w:type="dxa"/>
            <w:vAlign w:val="center"/>
          </w:tcPr>
          <w:p>
            <w:pPr>
              <w:pStyle w:val="12"/>
            </w:pPr>
            <w:r>
              <w:t>939259.78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7762348.99</w:t>
            </w:r>
          </w:p>
        </w:tc>
        <w:tc>
          <w:tcPr>
            <w:tcW w:w="2551" w:type="dxa"/>
            <w:vAlign w:val="center"/>
          </w:tcPr>
          <w:p>
            <w:pPr>
              <w:pStyle w:val="12"/>
            </w:pPr>
            <w:r>
              <w:t>7762348.99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1649825.91</w:t>
            </w:r>
          </w:p>
        </w:tc>
        <w:tc>
          <w:tcPr>
            <w:tcW w:w="2551" w:type="dxa"/>
            <w:vAlign w:val="center"/>
          </w:tcPr>
          <w:p>
            <w:pPr>
              <w:pStyle w:val="12"/>
            </w:pPr>
          </w:p>
        </w:tc>
        <w:tc>
          <w:tcPr>
            <w:tcW w:w="2551" w:type="dxa"/>
            <w:vAlign w:val="center"/>
          </w:tcPr>
          <w:p>
            <w:pPr>
              <w:pStyle w:val="12"/>
            </w:pPr>
            <w:r>
              <w:t>1649825.91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309000.00</w:t>
            </w:r>
          </w:p>
        </w:tc>
        <w:tc>
          <w:tcPr>
            <w:tcW w:w="2551" w:type="dxa"/>
            <w:vAlign w:val="center"/>
          </w:tcPr>
          <w:p>
            <w:pPr>
              <w:pStyle w:val="12"/>
            </w:pPr>
          </w:p>
        </w:tc>
        <w:tc>
          <w:tcPr>
            <w:tcW w:w="2551" w:type="dxa"/>
            <w:vAlign w:val="center"/>
          </w:tcPr>
          <w:p>
            <w:pPr>
              <w:pStyle w:val="12"/>
            </w:pPr>
            <w:r>
              <w:t>309000.00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118381.51</w:t>
            </w:r>
          </w:p>
        </w:tc>
        <w:tc>
          <w:tcPr>
            <w:tcW w:w="2551" w:type="dxa"/>
            <w:vAlign w:val="center"/>
          </w:tcPr>
          <w:p>
            <w:pPr>
              <w:pStyle w:val="12"/>
            </w:pPr>
          </w:p>
        </w:tc>
        <w:tc>
          <w:tcPr>
            <w:tcW w:w="2551" w:type="dxa"/>
            <w:vAlign w:val="center"/>
          </w:tcPr>
          <w:p>
            <w:pPr>
              <w:pStyle w:val="12"/>
            </w:pPr>
            <w:r>
              <w:t>118381.51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53978.00</w:t>
            </w:r>
          </w:p>
        </w:tc>
        <w:tc>
          <w:tcPr>
            <w:tcW w:w="2551" w:type="dxa"/>
            <w:vAlign w:val="center"/>
          </w:tcPr>
          <w:p>
            <w:pPr>
              <w:pStyle w:val="12"/>
            </w:pPr>
          </w:p>
        </w:tc>
        <w:tc>
          <w:tcPr>
            <w:tcW w:w="2551" w:type="dxa"/>
            <w:vAlign w:val="center"/>
          </w:tcPr>
          <w:p>
            <w:pPr>
              <w:pStyle w:val="12"/>
            </w:pPr>
            <w:r>
              <w:t>53978.00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122176.40</w:t>
            </w:r>
          </w:p>
        </w:tc>
        <w:tc>
          <w:tcPr>
            <w:tcW w:w="2551" w:type="dxa"/>
            <w:vAlign w:val="center"/>
          </w:tcPr>
          <w:p>
            <w:pPr>
              <w:pStyle w:val="12"/>
            </w:pPr>
          </w:p>
        </w:tc>
        <w:tc>
          <w:tcPr>
            <w:tcW w:w="2551" w:type="dxa"/>
            <w:vAlign w:val="center"/>
          </w:tcPr>
          <w:p>
            <w:pPr>
              <w:pStyle w:val="12"/>
            </w:pPr>
            <w:r>
              <w:t>122176.40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205500.00</w:t>
            </w:r>
          </w:p>
        </w:tc>
        <w:tc>
          <w:tcPr>
            <w:tcW w:w="2551" w:type="dxa"/>
            <w:vAlign w:val="center"/>
          </w:tcPr>
          <w:p>
            <w:pPr>
              <w:pStyle w:val="12"/>
            </w:pPr>
          </w:p>
        </w:tc>
        <w:tc>
          <w:tcPr>
            <w:tcW w:w="2551" w:type="dxa"/>
            <w:vAlign w:val="center"/>
          </w:tcPr>
          <w:p>
            <w:pPr>
              <w:pStyle w:val="12"/>
            </w:pPr>
            <w:r>
              <w:t>205500.00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76800.00</w:t>
            </w:r>
          </w:p>
        </w:tc>
        <w:tc>
          <w:tcPr>
            <w:tcW w:w="2551" w:type="dxa"/>
            <w:vAlign w:val="center"/>
          </w:tcPr>
          <w:p>
            <w:pPr>
              <w:pStyle w:val="12"/>
            </w:pPr>
          </w:p>
        </w:tc>
        <w:tc>
          <w:tcPr>
            <w:tcW w:w="2551" w:type="dxa"/>
            <w:vAlign w:val="center"/>
          </w:tcPr>
          <w:p>
            <w:pPr>
              <w:pStyle w:val="12"/>
            </w:pPr>
            <w:r>
              <w:t>76800.00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96000.00</w:t>
            </w:r>
          </w:p>
        </w:tc>
        <w:tc>
          <w:tcPr>
            <w:tcW w:w="2551" w:type="dxa"/>
            <w:vAlign w:val="center"/>
          </w:tcPr>
          <w:p>
            <w:pPr>
              <w:pStyle w:val="12"/>
            </w:pPr>
          </w:p>
        </w:tc>
        <w:tc>
          <w:tcPr>
            <w:tcW w:w="2551" w:type="dxa"/>
            <w:vAlign w:val="center"/>
          </w:tcPr>
          <w:p>
            <w:pPr>
              <w:pStyle w:val="12"/>
            </w:pPr>
            <w:r>
              <w:t>96000.00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46000.00</w:t>
            </w:r>
          </w:p>
        </w:tc>
        <w:tc>
          <w:tcPr>
            <w:tcW w:w="2551" w:type="dxa"/>
            <w:vAlign w:val="center"/>
          </w:tcPr>
          <w:p>
            <w:pPr>
              <w:pStyle w:val="12"/>
            </w:pPr>
          </w:p>
        </w:tc>
        <w:tc>
          <w:tcPr>
            <w:tcW w:w="2551" w:type="dxa"/>
            <w:vAlign w:val="center"/>
          </w:tcPr>
          <w:p>
            <w:pPr>
              <w:pStyle w:val="12"/>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464640.00</w:t>
            </w:r>
          </w:p>
        </w:tc>
        <w:tc>
          <w:tcPr>
            <w:tcW w:w="2551" w:type="dxa"/>
            <w:vAlign w:val="center"/>
          </w:tcPr>
          <w:p>
            <w:pPr>
              <w:pStyle w:val="12"/>
            </w:pPr>
          </w:p>
        </w:tc>
        <w:tc>
          <w:tcPr>
            <w:tcW w:w="2551" w:type="dxa"/>
            <w:vAlign w:val="center"/>
          </w:tcPr>
          <w:p>
            <w:pPr>
              <w:pStyle w:val="12"/>
            </w:pPr>
            <w:r>
              <w:t>464640.00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136350.00</w:t>
            </w:r>
          </w:p>
        </w:tc>
        <w:tc>
          <w:tcPr>
            <w:tcW w:w="2551" w:type="dxa"/>
            <w:vAlign w:val="center"/>
          </w:tcPr>
          <w:p>
            <w:pPr>
              <w:pStyle w:val="12"/>
            </w:pPr>
          </w:p>
        </w:tc>
        <w:tc>
          <w:tcPr>
            <w:tcW w:w="2551" w:type="dxa"/>
            <w:vAlign w:val="center"/>
          </w:tcPr>
          <w:p>
            <w:pPr>
              <w:pStyle w:val="12"/>
            </w:pPr>
            <w:r>
              <w:t>136350.00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992533.44</w:t>
            </w:r>
          </w:p>
        </w:tc>
        <w:tc>
          <w:tcPr>
            <w:tcW w:w="2551" w:type="dxa"/>
            <w:vAlign w:val="center"/>
          </w:tcPr>
          <w:p>
            <w:pPr>
              <w:pStyle w:val="12"/>
            </w:pPr>
            <w:r>
              <w:t>992533.44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822073.44</w:t>
            </w:r>
          </w:p>
        </w:tc>
        <w:tc>
          <w:tcPr>
            <w:tcW w:w="2551" w:type="dxa"/>
            <w:vAlign w:val="center"/>
          </w:tcPr>
          <w:p>
            <w:pPr>
              <w:pStyle w:val="12"/>
            </w:pPr>
            <w:r>
              <w:t>822073.44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168300.00</w:t>
            </w:r>
          </w:p>
        </w:tc>
        <w:tc>
          <w:tcPr>
            <w:tcW w:w="2551" w:type="dxa"/>
            <w:vAlign w:val="center"/>
          </w:tcPr>
          <w:p>
            <w:pPr>
              <w:pStyle w:val="12"/>
            </w:pPr>
            <w:r>
              <w:t>168300.00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2160.00</w:t>
            </w:r>
          </w:p>
        </w:tc>
        <w:tc>
          <w:tcPr>
            <w:tcW w:w="2551" w:type="dxa"/>
            <w:vAlign w:val="center"/>
          </w:tcPr>
          <w:p>
            <w:pPr>
              <w:pStyle w:val="12"/>
            </w:pPr>
            <w:r>
              <w:t>2160.00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479玉田县玉田镇人民政府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479玉田县玉田镇人民政府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479玉田县玉田镇人民政府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46000.00</w:t>
            </w:r>
          </w:p>
        </w:tc>
        <w:tc>
          <w:tcPr>
            <w:tcW w:w="2381" w:type="dxa"/>
            <w:vAlign w:val="center"/>
          </w:tcPr>
          <w:p>
            <w:pPr>
              <w:pStyle w:val="16"/>
            </w:pPr>
            <w:r>
              <w:t>46000.00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玉田县玉田镇人民政府2025年部门预算信息公开情况说明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玉田县玉田镇人民政府2025年部门预算信息公开情况说明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按照《中华人民共和国预算法》、《地方预决算公开操作规程》和《关于进一步推进预算公开工作的实施意见》规定，现将玉田县玉田镇人民政府2025年部门预算公开如下：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第一条 根据《中共唐山市委办公室、唐山市人民政府办公室关于印发〈县深化乡镇和街道改革方案〉的通知》(唐办字﹝2020﹞22号),制定本规定。</w:t>
      </w:r>
    </w:p>
    <w:p>
      <w:pPr>
        <w:pStyle w:val="18"/>
      </w:pPr>
      <w:r>
        <w:t>第二条 玉田镇党委是党在农村的基层组织,是党在农村全部工作和战斗力的基础,全面领导本镇的工作和基层社会治理,支持和保证行政组织、经济组织和群众自治组织充分行使职权。玉田镇人大是基层地方国家权力机关,加强基层政权推进基层民主法治建设和政治文明建设。玉田镇人民政府是本级人民代表大会的执行机关,是本级国家行政机关,依法行使行政职权。玉田镇主要围绕加强党的领导、夯实基层政权,促进经济发展、増加农民收入,优化公共服务、着力改善民生强化社会治理、维护社会稳定,推进基层民主、促进农村和谐,改善生杰环境、提升乡风文明等方面履行职能。</w:t>
      </w:r>
    </w:p>
    <w:p>
      <w:pPr>
        <w:pStyle w:val="18"/>
      </w:pPr>
      <w:r>
        <w:t>第三条 贯彻落实党中央和省委、市委、县委方针政策和決策部署,坚持和加强党对本镇工作的集中统一领导。镇党委、人大、政府主要职责是:</w:t>
      </w:r>
    </w:p>
    <w:p>
      <w:pPr>
        <w:pStyle w:val="18"/>
      </w:pPr>
      <w:r>
        <w:t>(一) 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8"/>
      </w:pPr>
      <w:r>
        <w:t>(二) 讨论和决定本镇经济建设、政治建设、文化建设、社会建设、生态文明建设和党的建设以及乡村振兴中的重大问题。</w:t>
      </w:r>
    </w:p>
    <w:p>
      <w:pPr>
        <w:pStyle w:val="18"/>
      </w:pPr>
      <w:r>
        <w:t>(三) 组织召开本级人民代表大会,充分行使重大事项决定权、监督权和任免权,做好人大代表工作,联系选民、反映群众意见和要求。</w:t>
      </w:r>
    </w:p>
    <w:p>
      <w:pPr>
        <w:pStyle w:val="18"/>
      </w:pPr>
      <w:r>
        <w:t>(四) 执行辖区内的经济和社会发展计划、预算,管理辖区内的经济、教育、科学、文化、卫生健康、体育事业和财政、统计、民政、司法行政等行政工作。落实辖区内发展规划、专项规划、区城规划、国土空间规划。</w:t>
      </w:r>
    </w:p>
    <w:p>
      <w:pPr>
        <w:pStyle w:val="18"/>
      </w:pPr>
      <w:r>
        <w:t>(五) 镇党委领鎮政权机关、群团组织和其他各类组织加强指导和规范,支持和保证这些机关和组织依照国家法倖法规以及各自章程履行职责。坚持党管武装的根本原则和制度,协调各方力量,对镇人民武装工作实行统一领导。</w:t>
      </w:r>
    </w:p>
    <w:p>
      <w:pPr>
        <w:pStyle w:val="18"/>
      </w:pPr>
      <w:r>
        <w:t>(六) 加强镇党委自身建设和村党组织建设,以及其他隶属镇党委的党组织建设,抓好发展党员工作,加强党员队伍建设。维护和执行党的纪偉,监督党员干部和其他任何工作人员严格遵守国家法律法规。</w:t>
      </w:r>
    </w:p>
    <w:p>
      <w:pPr>
        <w:pStyle w:val="18"/>
      </w:pPr>
      <w:r>
        <w:t>(七) 按照干部管理权限,负责对干部的教育、培训、选拔考核和监督工作。协助管理上级有关部门驻镇单位的千部。做好人オ服务工作。</w:t>
      </w:r>
    </w:p>
    <w:p>
      <w:pPr>
        <w:pStyle w:val="18"/>
      </w:pPr>
      <w:r>
        <w:t>(八) 领导本镇的基层治理,加强社会主义民主法治建设和精神文明建设,加强社会治安综合治理,做好应急管理、生态环保、乡村振兴、民生保障、脱贫致富、民族宗教、防范邪教等作。承担民兵预备役、征兵、退役军人服务、拥军优属等工作。</w:t>
      </w:r>
    </w:p>
    <w:p>
      <w:pPr>
        <w:pStyle w:val="18"/>
      </w:pPr>
      <w:r>
        <w:t>(九) 保护社会主义的全民所有的财产和劳动群众集体所有的财产,保护公民私人所有的合法财产,维护社会秩序,保障公民的人身权利、民主权利和其他权利。保护各种经济组织的合法权益。保障各少数民族的合法权利和利益,導重少数民族的风俗习惯。保障宪法和法律赋予妇女的男女平等、同工同醐和婚姻自由等各项权利。</w:t>
      </w:r>
    </w:p>
    <w:p>
      <w:pPr>
        <w:pStyle w:val="18"/>
      </w:pPr>
      <w:r>
        <w:t>(十) 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玉田县玉田镇人民政府本级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按照预算管理有关规定，目前部门预算的编制实行综合预算管理，即全部收入和支出都反映在预算中。玉田县玉田镇人民政府机关及所属事业单位的收支包含在部门预算中。</w:t>
      </w:r>
    </w:p>
    <w:p>
      <w:pPr>
        <w:pStyle w:val="19"/>
      </w:pPr>
      <w:r>
        <w:t>1、收入说明</w:t>
      </w:r>
    </w:p>
    <w:p>
      <w:pPr>
        <w:pStyle w:val="19"/>
      </w:pPr>
      <w:r>
        <w:t>反映本部门当年全部收入。2025年预算收入32289816.32元，其中：一般公共预算收入32289816.32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玉田镇人民政府年度部门预算中支出预算的总体情况。2025年支出预算32289816.32元，其中基本支出23038374.32元，包括人员经费21388548.41元和日常公用经费1649825.91元；项目支出9251442.00元，主要为乡镇人大工作站 2</w:t>
      </w:r>
      <w:r>
        <w:rPr>
          <w:rFonts w:hint="eastAsia"/>
          <w:lang w:val="en-US" w:eastAsia="zh-CN"/>
        </w:rPr>
        <w:t>0000</w:t>
      </w:r>
      <w:r>
        <w:t>元；安保、环保、安全生产、应急、食药监管2</w:t>
      </w:r>
      <w:r>
        <w:rPr>
          <w:rFonts w:hint="eastAsia"/>
          <w:lang w:val="en-US" w:eastAsia="zh-CN"/>
        </w:rPr>
        <w:t>0000</w:t>
      </w:r>
      <w:r>
        <w:t>元；人武、党团妇建、纪检、宣传经费3</w:t>
      </w:r>
      <w:r>
        <w:rPr>
          <w:rFonts w:hint="eastAsia"/>
          <w:lang w:val="en-US" w:eastAsia="zh-CN"/>
        </w:rPr>
        <w:t>0000</w:t>
      </w:r>
      <w:r>
        <w:t>元；河渠清理及河长制2</w:t>
      </w:r>
      <w:r>
        <w:rPr>
          <w:rFonts w:hint="eastAsia"/>
          <w:lang w:val="en-US" w:eastAsia="zh-CN"/>
        </w:rPr>
        <w:t>0000</w:t>
      </w:r>
      <w:r>
        <w:t>元；刘洪霞信访支出312</w:t>
      </w:r>
      <w:r>
        <w:rPr>
          <w:rFonts w:hint="eastAsia"/>
          <w:lang w:val="en-US" w:eastAsia="zh-CN"/>
        </w:rPr>
        <w:t>00</w:t>
      </w:r>
      <w:r>
        <w:t>元；营房村葛长波信访支出25</w:t>
      </w:r>
      <w:r>
        <w:rPr>
          <w:rFonts w:hint="eastAsia"/>
          <w:lang w:val="en-US" w:eastAsia="zh-CN"/>
        </w:rPr>
        <w:t>0000</w:t>
      </w:r>
      <w:r>
        <w:t>元； 尹东红信记支出327</w:t>
      </w:r>
      <w:r>
        <w:rPr>
          <w:rFonts w:hint="eastAsia"/>
          <w:lang w:val="en-US" w:eastAsia="zh-CN"/>
        </w:rPr>
        <w:t>000</w:t>
      </w:r>
      <w:r>
        <w:t>元，孟丽珍信访支出10</w:t>
      </w:r>
      <w:r>
        <w:rPr>
          <w:rFonts w:hint="eastAsia"/>
          <w:lang w:val="en-US" w:eastAsia="zh-CN"/>
        </w:rPr>
        <w:t>0000</w:t>
      </w:r>
      <w:r>
        <w:t>元；尹兆峰信访支出70</w:t>
      </w:r>
      <w:r>
        <w:rPr>
          <w:rFonts w:hint="eastAsia"/>
          <w:lang w:val="en-US" w:eastAsia="zh-CN"/>
        </w:rPr>
        <w:t>0000</w:t>
      </w:r>
      <w:r>
        <w:t>元；洪潮铸造征地相关支出29785</w:t>
      </w:r>
      <w:r>
        <w:rPr>
          <w:rFonts w:hint="eastAsia"/>
          <w:lang w:val="en-US" w:eastAsia="zh-CN"/>
        </w:rPr>
        <w:t>00</w:t>
      </w:r>
      <w:r>
        <w:t>元；2025年绿化租地款4487745元；下坎村7户过渡费126</w:t>
      </w:r>
      <w:r>
        <w:rPr>
          <w:rFonts w:hint="eastAsia"/>
          <w:lang w:val="en-US" w:eastAsia="zh-CN"/>
        </w:rPr>
        <w:t>000</w:t>
      </w:r>
      <w:r>
        <w:t>元。残保金161</w:t>
      </w:r>
      <w:r>
        <w:rPr>
          <w:rFonts w:hint="eastAsia"/>
          <w:lang w:val="en-US" w:eastAsia="zh-CN"/>
        </w:rPr>
        <w:t>000</w:t>
      </w:r>
      <w:r>
        <w:t>元</w:t>
      </w:r>
    </w:p>
    <w:p>
      <w:pPr>
        <w:pStyle w:val="19"/>
      </w:pPr>
      <w:r>
        <w:t>3、比上年增减情况</w:t>
      </w:r>
    </w:p>
    <w:p>
      <w:pPr>
        <w:pStyle w:val="19"/>
      </w:pPr>
      <w:r>
        <w:t>2025年预算收支安排32289816.32元，较2024年预算减少8035309.29元，其中：基本支出增加654170.21元，主要为人员经费21388548.41元，日常公用1649825.91元：办公费30</w:t>
      </w:r>
      <w:r>
        <w:rPr>
          <w:rFonts w:hint="eastAsia"/>
          <w:lang w:val="en-US" w:eastAsia="zh-CN"/>
        </w:rPr>
        <w:t>0000</w:t>
      </w:r>
      <w:r>
        <w:t>元，电费11838151</w:t>
      </w:r>
      <w:r>
        <w:rPr>
          <w:rFonts w:hint="eastAsia"/>
          <w:lang w:val="en-US" w:eastAsia="zh-CN"/>
        </w:rPr>
        <w:t>00</w:t>
      </w:r>
      <w:r>
        <w:t>元，邮电费53978元，取暖费122176</w:t>
      </w:r>
      <w:r>
        <w:rPr>
          <w:rFonts w:hint="eastAsia"/>
          <w:lang w:val="en-US" w:eastAsia="zh-CN"/>
        </w:rPr>
        <w:t>.</w:t>
      </w:r>
      <w:r>
        <w:t>4元，差旅费2055</w:t>
      </w:r>
      <w:r>
        <w:rPr>
          <w:rFonts w:hint="eastAsia"/>
          <w:lang w:val="en-US" w:eastAsia="zh-CN"/>
        </w:rPr>
        <w:t>00</w:t>
      </w:r>
      <w:r>
        <w:t>元，公务用车运行维护费46</w:t>
      </w:r>
      <w:r>
        <w:rPr>
          <w:rFonts w:hint="eastAsia"/>
          <w:lang w:val="en-US" w:eastAsia="zh-CN"/>
        </w:rPr>
        <w:t>000</w:t>
      </w:r>
      <w:r>
        <w:t>元，其他商品服务支出54</w:t>
      </w:r>
      <w:r>
        <w:rPr>
          <w:rFonts w:hint="eastAsia"/>
          <w:lang w:val="en-US" w:eastAsia="zh-CN"/>
        </w:rPr>
        <w:t>000</w:t>
      </w:r>
      <w:r>
        <w:t>元，退休干部公用经费244</w:t>
      </w:r>
      <w:r>
        <w:rPr>
          <w:rFonts w:hint="eastAsia"/>
          <w:lang w:val="en-US" w:eastAsia="zh-CN"/>
        </w:rPr>
        <w:t>00</w:t>
      </w:r>
      <w:r>
        <w:t>元，退休干部特需费122</w:t>
      </w:r>
      <w:r>
        <w:rPr>
          <w:rFonts w:hint="eastAsia"/>
          <w:lang w:val="en-US" w:eastAsia="zh-CN"/>
        </w:rPr>
        <w:t>00</w:t>
      </w:r>
      <w:r>
        <w:t>元，退休干部福利费4575</w:t>
      </w:r>
      <w:r>
        <w:rPr>
          <w:rFonts w:hint="eastAsia"/>
          <w:lang w:val="en-US" w:eastAsia="zh-CN"/>
        </w:rPr>
        <w:t>0</w:t>
      </w:r>
      <w:r>
        <w:t>元，公务交通补贴46464</w:t>
      </w:r>
      <w:r>
        <w:rPr>
          <w:rFonts w:hint="eastAsia"/>
          <w:lang w:val="en-US" w:eastAsia="zh-CN"/>
        </w:rPr>
        <w:t>0</w:t>
      </w:r>
      <w:r>
        <w:t>元，工会费768</w:t>
      </w:r>
      <w:r>
        <w:rPr>
          <w:rFonts w:hint="eastAsia"/>
          <w:lang w:val="en-US" w:eastAsia="zh-CN"/>
        </w:rPr>
        <w:t>00</w:t>
      </w:r>
      <w:r>
        <w:t>元，福利费96</w:t>
      </w:r>
      <w:r>
        <w:rPr>
          <w:rFonts w:hint="eastAsia"/>
          <w:lang w:val="en-US" w:eastAsia="zh-CN"/>
        </w:rPr>
        <w:t>000</w:t>
      </w:r>
      <w:r>
        <w:t>元。项目支出减少8689479.50元，主要为乡镇人大工作站 2</w:t>
      </w:r>
      <w:r>
        <w:rPr>
          <w:rFonts w:hint="eastAsia"/>
          <w:lang w:val="en-US" w:eastAsia="zh-CN"/>
        </w:rPr>
        <w:t>0000</w:t>
      </w:r>
      <w:r>
        <w:t>元；安保、环保、安全生产、应急、食药监管2</w:t>
      </w:r>
      <w:r>
        <w:rPr>
          <w:rFonts w:hint="eastAsia"/>
          <w:lang w:val="en-US" w:eastAsia="zh-CN"/>
        </w:rPr>
        <w:t>0000</w:t>
      </w:r>
      <w:r>
        <w:t>元；人武、党团妇建、纪检、宣传经费3</w:t>
      </w:r>
      <w:r>
        <w:rPr>
          <w:rFonts w:hint="eastAsia"/>
          <w:lang w:val="en-US" w:eastAsia="zh-CN"/>
        </w:rPr>
        <w:t>0000</w:t>
      </w:r>
      <w:r>
        <w:t>元；河渠清理及河长制2</w:t>
      </w:r>
      <w:r>
        <w:rPr>
          <w:rFonts w:hint="eastAsia"/>
          <w:lang w:val="en-US" w:eastAsia="zh-CN"/>
        </w:rPr>
        <w:t>0000</w:t>
      </w:r>
      <w:r>
        <w:t>元；刘洪霞信访支出312</w:t>
      </w:r>
      <w:r>
        <w:rPr>
          <w:rFonts w:hint="eastAsia"/>
          <w:lang w:val="en-US" w:eastAsia="zh-CN"/>
        </w:rPr>
        <w:t>00</w:t>
      </w:r>
      <w:r>
        <w:t>元；营房村葛长波信访支出25</w:t>
      </w:r>
      <w:r>
        <w:rPr>
          <w:rFonts w:hint="eastAsia"/>
          <w:lang w:val="en-US" w:eastAsia="zh-CN"/>
        </w:rPr>
        <w:t>0000</w:t>
      </w:r>
      <w:r>
        <w:t>元； 尹东红信记支出327</w:t>
      </w:r>
      <w:r>
        <w:rPr>
          <w:rFonts w:hint="eastAsia"/>
          <w:lang w:val="en-US" w:eastAsia="zh-CN"/>
        </w:rPr>
        <w:t>000</w:t>
      </w:r>
      <w:r>
        <w:t>元，孟丽珍信访支出10</w:t>
      </w:r>
      <w:r>
        <w:rPr>
          <w:rFonts w:hint="eastAsia"/>
          <w:lang w:val="en-US" w:eastAsia="zh-CN"/>
        </w:rPr>
        <w:t>0000</w:t>
      </w:r>
      <w:r>
        <w:t>元；尹兆峰信访支出70</w:t>
      </w:r>
      <w:r>
        <w:rPr>
          <w:rFonts w:hint="eastAsia"/>
          <w:lang w:val="en-US" w:eastAsia="zh-CN"/>
        </w:rPr>
        <w:t>0000</w:t>
      </w:r>
      <w:r>
        <w:t>元；洪潮铸造征地相关支出29785</w:t>
      </w:r>
      <w:r>
        <w:rPr>
          <w:rFonts w:hint="eastAsia"/>
          <w:lang w:val="en-US" w:eastAsia="zh-CN"/>
        </w:rPr>
        <w:t>00</w:t>
      </w:r>
      <w:r>
        <w:t>元；2025年绿化租地款4487745元；下坎村7户过渡费126</w:t>
      </w:r>
      <w:r>
        <w:rPr>
          <w:rFonts w:hint="eastAsia"/>
          <w:lang w:val="en-US" w:eastAsia="zh-CN"/>
        </w:rPr>
        <w:t>000</w:t>
      </w:r>
      <w:r>
        <w:t>元。残保金161</w:t>
      </w:r>
      <w:r>
        <w:rPr>
          <w:rFonts w:hint="eastAsia"/>
          <w:lang w:val="en-US" w:eastAsia="zh-CN"/>
        </w:rPr>
        <w:t>000</w:t>
      </w:r>
      <w:r>
        <w:t>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2025年，我部门机关运行经费共计安排1649825.91元，主要用于日常维修、办公用房水电费、办公用房取暖费、办公用房物业管理费等日常运行支出。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lang w:eastAsia="zh-CN"/>
        </w:rPr>
      </w:pPr>
      <w:r>
        <w:t>2025年，我部门财政拨款“三公”经费预算安排</w:t>
      </w:r>
      <w:r>
        <w:rPr>
          <w:rFonts w:hint="eastAsia"/>
          <w:lang w:val="en-US" w:eastAsia="zh-CN"/>
        </w:rPr>
        <w:t>66000</w:t>
      </w:r>
      <w:r>
        <w:t>元，其中因公出国（境）费0.00元；公务用车购置及运维费</w:t>
      </w:r>
      <w:r>
        <w:rPr>
          <w:rFonts w:hint="eastAsia"/>
          <w:lang w:val="en-US" w:eastAsia="zh-CN"/>
        </w:rPr>
        <w:t>46000</w:t>
      </w:r>
      <w:r>
        <w:t>元（其中：公务用车购置费为0.00元，公务用车运维费</w:t>
      </w:r>
      <w:r>
        <w:rPr>
          <w:rFonts w:hint="eastAsia"/>
          <w:lang w:val="en-US" w:eastAsia="zh-CN"/>
        </w:rPr>
        <w:t>46000</w:t>
      </w:r>
      <w:r>
        <w:t>元)；公务接待费</w:t>
      </w:r>
      <w:r>
        <w:rPr>
          <w:rFonts w:hint="eastAsia"/>
          <w:lang w:val="en-US" w:eastAsia="zh-CN"/>
        </w:rPr>
        <w:t>20000</w:t>
      </w:r>
      <w:r>
        <w:t>元。与2024年相比</w:t>
      </w:r>
      <w:r>
        <w:rPr>
          <w:rFonts w:hint="eastAsia"/>
          <w:lang w:eastAsia="zh-CN"/>
        </w:rPr>
        <w:t>减少</w:t>
      </w:r>
      <w:r>
        <w:rPr>
          <w:rFonts w:hint="eastAsia"/>
          <w:lang w:val="en-US" w:eastAsia="zh-CN"/>
        </w:rPr>
        <w:t>1000</w:t>
      </w:r>
      <w:r>
        <w:t>0.00元，增减变化的主要原因是</w:t>
      </w:r>
      <w:r>
        <w:rPr>
          <w:rFonts w:hint="eastAsia"/>
          <w:lang w:eastAsia="zh-CN"/>
        </w:rPr>
        <w:t>落实过紧日子要求，压缩开支。</w:t>
      </w:r>
      <w:r>
        <w:t>2025年，我部门财政拨款“三公”经费预算安排660</w:t>
      </w:r>
      <w:r>
        <w:rPr>
          <w:rFonts w:hint="eastAsia"/>
          <w:lang w:val="en-US" w:eastAsia="zh-CN"/>
        </w:rPr>
        <w:t>00</w:t>
      </w:r>
      <w:r>
        <w:t>元，其中因公出国（境）费0.00元； 公务用车购置及运维费460</w:t>
      </w:r>
      <w:r>
        <w:rPr>
          <w:rFonts w:hint="eastAsia"/>
          <w:lang w:val="en-US" w:eastAsia="zh-CN"/>
        </w:rPr>
        <w:t>00</w:t>
      </w:r>
      <w:r>
        <w:t>元（其中：公务用车购置费为0.00元，公务用车运维费460</w:t>
      </w:r>
      <w:r>
        <w:rPr>
          <w:rFonts w:hint="eastAsia"/>
          <w:lang w:val="en-US" w:eastAsia="zh-CN"/>
        </w:rPr>
        <w:t>00</w:t>
      </w:r>
      <w:r>
        <w:t>元)； 公务接待费2</w:t>
      </w:r>
      <w:r>
        <w:rPr>
          <w:rFonts w:hint="eastAsia"/>
          <w:lang w:val="en-US" w:eastAsia="zh-CN"/>
        </w:rPr>
        <w:t>00</w:t>
      </w:r>
      <w:r>
        <w:t>00元。落实过紧日子要求，与2024年相比公务接待费减少1</w:t>
      </w:r>
      <w:r>
        <w:rPr>
          <w:rFonts w:hint="eastAsia"/>
          <w:lang w:val="en-US" w:eastAsia="zh-CN"/>
        </w:rPr>
        <w:t>0000</w:t>
      </w:r>
      <w:r>
        <w:t>元。</w:t>
      </w:r>
      <w:r>
        <w:rPr>
          <w:rFonts w:hint="eastAsia"/>
          <w:lang w:eastAsia="zh-CN"/>
        </w:rPr>
        <w:t>具体安排：</w:t>
      </w:r>
    </w:p>
    <w:p>
      <w:pPr>
        <w:pStyle w:val="21"/>
        <w:rPr>
          <w:rFonts w:hint="default"/>
          <w:lang w:val="en-US" w:eastAsia="zh-CN"/>
        </w:rPr>
      </w:pPr>
      <w:r>
        <w:rPr>
          <w:rFonts w:hint="eastAsia"/>
          <w:lang w:eastAsia="zh-CN"/>
        </w:rPr>
        <w:t>（一）公务用车购置及运行费。共计</w:t>
      </w:r>
      <w:r>
        <w:rPr>
          <w:rFonts w:hint="eastAsia"/>
          <w:lang w:val="en-US" w:eastAsia="zh-CN"/>
        </w:rPr>
        <w:t>46000元，与上年持平，无增减变化。</w:t>
      </w:r>
    </w:p>
    <w:p>
      <w:pPr>
        <w:pStyle w:val="21"/>
        <w:rPr>
          <w:rFonts w:hint="eastAsia"/>
          <w:lang w:val="en-US" w:eastAsia="zh-CN"/>
        </w:rPr>
      </w:pPr>
      <w:r>
        <w:rPr>
          <w:rFonts w:hint="eastAsia"/>
          <w:lang w:eastAsia="zh-CN"/>
        </w:rPr>
        <w:t>（１）公务用车购置安排</w:t>
      </w:r>
      <w:r>
        <w:rPr>
          <w:rFonts w:hint="eastAsia"/>
          <w:lang w:val="en-US" w:eastAsia="zh-CN"/>
        </w:rPr>
        <w:t>0元，与上年持平，无增减变化。</w:t>
      </w:r>
    </w:p>
    <w:p>
      <w:pPr>
        <w:pStyle w:val="21"/>
        <w:rPr>
          <w:rFonts w:hint="eastAsia"/>
          <w:lang w:val="en-US" w:eastAsia="zh-CN"/>
        </w:rPr>
      </w:pPr>
      <w:r>
        <w:rPr>
          <w:rFonts w:hint="eastAsia"/>
          <w:lang w:val="en-US" w:eastAsia="zh-CN"/>
        </w:rPr>
        <w:t>（2）公车运行维护经费46000元，与上年持平，无增减变化。</w:t>
      </w:r>
    </w:p>
    <w:p>
      <w:pPr>
        <w:pStyle w:val="21"/>
        <w:rPr>
          <w:rFonts w:hint="eastAsia"/>
          <w:lang w:val="en-US" w:eastAsia="zh-CN"/>
        </w:rPr>
      </w:pPr>
      <w:r>
        <w:rPr>
          <w:rFonts w:hint="eastAsia"/>
          <w:lang w:val="en-US" w:eastAsia="zh-CN"/>
        </w:rPr>
        <w:t>（二）公务接待费。安排20000元，较2024年减少10000元。</w:t>
      </w:r>
    </w:p>
    <w:p>
      <w:pPr>
        <w:pStyle w:val="21"/>
        <w:rPr>
          <w:rFonts w:hint="default"/>
          <w:lang w:val="en-US" w:eastAsia="zh-CN"/>
        </w:rPr>
      </w:pPr>
      <w:r>
        <w:rPr>
          <w:rFonts w:hint="eastAsia"/>
          <w:lang w:val="en-US" w:eastAsia="zh-CN"/>
        </w:rPr>
        <w:t>（三）因公出国（境）费安排0元，与上年持平，无增减变化。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根据县委、县政府2025年度计划目标，玉田镇政府2023年度将继续做好农业、农村、农民工作。加强经济服务职能，推动产业结构的调整；加强对社会事业规划布局、政策规范和依法监督，增强社会管理和公共服务职能，营造良好的发展环境，着力解决群众生产生活中的突出问题；强化公共服务、着力改善民生，加强社会管理、维护社会稳定，推进基层民主、促进农村和谐。保障天然气入户、农村养老医疗、农村养殖等民生重点支出，确保财政收支平衡，为全镇经济科学发展和促进和谐社会建设提供财力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尹东红信访问题经费</w:t>
      </w:r>
    </w:p>
    <w:p>
      <w:pPr>
        <w:pStyle w:val="23"/>
      </w:pPr>
      <w:r>
        <w:t>一级指标：（一）产出指标，下设四个二级指标，1.数量指标</w:t>
      </w:r>
      <w:r>
        <w:tab/>
      </w:r>
      <w:r>
        <w:t>尹东红信访数量</w:t>
      </w:r>
      <w:r>
        <w:tab/>
      </w:r>
      <w:r>
        <w:t>尹东红信访数量</w:t>
      </w:r>
      <w:r>
        <w:tab/>
      </w:r>
      <w:r>
        <w:t>≥</w:t>
      </w:r>
      <w:r>
        <w:tab/>
      </w:r>
      <w:r>
        <w:t>90.00；2.质量指标</w:t>
      </w:r>
      <w:r>
        <w:tab/>
      </w:r>
      <w:r>
        <w:t>协调信访事项化解率</w:t>
      </w:r>
      <w:r>
        <w:tab/>
      </w:r>
      <w:r>
        <w:t>协调信访事项化解率</w:t>
      </w:r>
      <w:r>
        <w:tab/>
      </w:r>
      <w:r>
        <w:t>≥</w:t>
      </w:r>
      <w:r>
        <w:tab/>
      </w:r>
      <w:r>
        <w:t>90.00；3.时效指标</w:t>
      </w:r>
      <w:r>
        <w:tab/>
      </w:r>
      <w:r>
        <w:t>信访事项平息及时</w:t>
      </w:r>
      <w:r>
        <w:tab/>
      </w:r>
      <w:r>
        <w:t>信访事项平息及时</w:t>
      </w:r>
      <w:r>
        <w:tab/>
      </w:r>
      <w:r>
        <w:t>≥</w:t>
      </w:r>
      <w:r>
        <w:tab/>
      </w:r>
      <w:r>
        <w:t>90.00；4.成本指标</w:t>
      </w:r>
      <w:r>
        <w:tab/>
      </w:r>
      <w:r>
        <w:t>涉访事项投入成本</w:t>
      </w:r>
      <w:r>
        <w:tab/>
      </w:r>
      <w:r>
        <w:t>涉访事项投入成本</w:t>
      </w:r>
      <w:r>
        <w:tab/>
      </w:r>
      <w:r>
        <w:t>≥</w:t>
      </w:r>
      <w:r>
        <w:tab/>
      </w:r>
      <w:r>
        <w:t>90.00</w:t>
      </w:r>
    </w:p>
    <w:p>
      <w:pPr>
        <w:pStyle w:val="23"/>
      </w:pPr>
      <w:r>
        <w:t>（二）效益指标，下设四个二级指标，经济效益指标</w:t>
      </w:r>
      <w:r>
        <w:tab/>
      </w:r>
      <w:r>
        <w:t>社会稳定提升情况</w:t>
      </w:r>
      <w:r>
        <w:tab/>
      </w:r>
      <w:r>
        <w:t>社会稳定提升情况</w:t>
      </w:r>
      <w:r>
        <w:tab/>
      </w:r>
      <w:r>
        <w:t>≥</w:t>
      </w:r>
      <w:r>
        <w:tab/>
      </w:r>
      <w:r>
        <w:t>90.00；2.社会效益指标</w:t>
      </w:r>
      <w:r>
        <w:tab/>
      </w:r>
      <w:r>
        <w:t>社会稳定水平</w:t>
      </w:r>
      <w:r>
        <w:tab/>
      </w:r>
      <w:r>
        <w:t>通过实施刘红霞信访经费促进社会稳定水平逐步提高</w:t>
      </w:r>
      <w:r>
        <w:tab/>
      </w:r>
      <w:r>
        <w:t>≥</w:t>
      </w:r>
      <w:r>
        <w:tab/>
      </w:r>
      <w:r>
        <w:t>90.00；3.生态效益指标</w:t>
      </w:r>
      <w:r>
        <w:tab/>
      </w:r>
      <w:r>
        <w:t>推动社会稳定发展</w:t>
      </w:r>
      <w:r>
        <w:tab/>
      </w:r>
      <w:r>
        <w:t>推动社会稳定发展</w:t>
      </w:r>
      <w:r>
        <w:tab/>
      </w:r>
      <w:r>
        <w:t>≥</w:t>
      </w:r>
      <w:r>
        <w:tab/>
      </w:r>
      <w:r>
        <w:t>90.00；4.可持续影响指标</w:t>
      </w:r>
      <w:r>
        <w:tab/>
      </w:r>
      <w:r>
        <w:t>项目持续发挥作用</w:t>
      </w:r>
      <w:r>
        <w:tab/>
      </w:r>
      <w:r>
        <w:t>项目持续发挥作用</w:t>
      </w:r>
      <w:r>
        <w:tab/>
      </w:r>
      <w:r>
        <w:t>≥</w:t>
      </w:r>
      <w:r>
        <w:tab/>
      </w:r>
      <w:r>
        <w:t>90.00。（三）满意度指标：群众满意度，指标值≥90%。</w:t>
      </w:r>
    </w:p>
    <w:p>
      <w:pPr>
        <w:pStyle w:val="23"/>
      </w:pPr>
      <w:r>
        <w:t>2025绿化租地</w:t>
      </w:r>
    </w:p>
    <w:p>
      <w:pPr>
        <w:pStyle w:val="23"/>
      </w:pPr>
      <w:r>
        <w:t>一级指标：（一）产出指标，下设四个二级指标，1.数量指标</w:t>
      </w:r>
      <w:r>
        <w:tab/>
      </w:r>
      <w:r>
        <w:t>租地亩数</w:t>
      </w:r>
      <w:r>
        <w:tab/>
      </w:r>
      <w:r>
        <w:t>租地亩数</w:t>
      </w:r>
      <w:r>
        <w:tab/>
      </w:r>
      <w:r>
        <w:t>≥</w:t>
      </w:r>
      <w:r>
        <w:tab/>
      </w:r>
      <w:r>
        <w:t>90.00；2.质量指标</w:t>
      </w:r>
      <w:r>
        <w:tab/>
      </w:r>
      <w:r>
        <w:t>租地完成率</w:t>
      </w:r>
      <w:r>
        <w:tab/>
      </w:r>
      <w:r>
        <w:t>租地完成率</w:t>
      </w:r>
      <w:r>
        <w:tab/>
      </w:r>
      <w:r>
        <w:t>≥</w:t>
      </w:r>
      <w:r>
        <w:tab/>
      </w:r>
      <w:r>
        <w:t>90.00；3时效指标</w:t>
      </w:r>
      <w:r>
        <w:tab/>
      </w:r>
      <w:r>
        <w:t>租地完成时限</w:t>
      </w:r>
      <w:r>
        <w:tab/>
      </w:r>
      <w:r>
        <w:t>租地完成时限</w:t>
      </w:r>
      <w:r>
        <w:tab/>
      </w:r>
      <w:r>
        <w:t>≥</w:t>
      </w:r>
      <w:r>
        <w:tab/>
      </w:r>
      <w:r>
        <w:t>90.00；4.成本指标</w:t>
      </w:r>
      <w:r>
        <w:tab/>
      </w:r>
      <w:r>
        <w:t>绿化租地成本</w:t>
      </w:r>
      <w:r>
        <w:tab/>
      </w:r>
      <w:r>
        <w:t>绿化租地成本</w:t>
      </w:r>
      <w:r>
        <w:tab/>
      </w:r>
      <w:r>
        <w:t>≥</w:t>
      </w:r>
      <w:r>
        <w:tab/>
      </w:r>
      <w:r>
        <w:t>90.00（二）效益指标；下设四个二级指标，1.经济效益指标</w:t>
      </w:r>
      <w:r>
        <w:tab/>
      </w:r>
      <w:r>
        <w:t>绿化总规模</w:t>
      </w:r>
      <w:r>
        <w:tab/>
      </w:r>
      <w:r>
        <w:t>绿化总规模</w:t>
      </w:r>
      <w:r>
        <w:tab/>
      </w:r>
      <w:r>
        <w:t>≥</w:t>
      </w:r>
      <w:r>
        <w:tab/>
      </w:r>
      <w:r>
        <w:t>90.00；2.社会效益指标</w:t>
      </w:r>
      <w:r>
        <w:tab/>
      </w:r>
      <w:r>
        <w:t>绿化对环境产生积极影响</w:t>
      </w:r>
      <w:r>
        <w:tab/>
      </w:r>
      <w:r>
        <w:t>绿化对环境产生积极影响</w:t>
      </w:r>
      <w:r>
        <w:tab/>
      </w:r>
      <w:r>
        <w:t>≥</w:t>
      </w:r>
      <w:r>
        <w:tab/>
      </w:r>
      <w:r>
        <w:t>90.00；3.生态效益指标</w:t>
      </w:r>
      <w:r>
        <w:tab/>
      </w:r>
      <w:r>
        <w:t>推动环保事业发展</w:t>
      </w:r>
      <w:r>
        <w:tab/>
      </w:r>
      <w:r>
        <w:t>推动环保事业发展</w:t>
      </w:r>
      <w:r>
        <w:tab/>
      </w:r>
      <w:r>
        <w:t>≥</w:t>
      </w:r>
      <w:r>
        <w:tab/>
      </w:r>
      <w:r>
        <w:t>90.00；4.可持续影响指标</w:t>
      </w:r>
      <w:r>
        <w:tab/>
      </w:r>
      <w:r>
        <w:t>项目持续发挥作用期限</w:t>
      </w:r>
      <w:r>
        <w:tab/>
      </w:r>
      <w:r>
        <w:t>项目持续发挥作用期限</w:t>
      </w:r>
      <w:r>
        <w:tab/>
      </w:r>
      <w:r>
        <w:t>≥</w:t>
      </w:r>
      <w:r>
        <w:tab/>
      </w:r>
      <w:r>
        <w:t>90.00（三）满意度指标：群众满意度，指标值≥90%。</w:t>
      </w:r>
    </w:p>
    <w:p>
      <w:pPr>
        <w:pStyle w:val="23"/>
      </w:pPr>
      <w:r>
        <w:t>刘洪霞信访维稳</w:t>
      </w:r>
    </w:p>
    <w:p>
      <w:pPr>
        <w:pStyle w:val="23"/>
      </w:pPr>
      <w:r>
        <w:t>一级指标：（一）产出指标，下设四个二级指标，1.数量指标</w:t>
      </w:r>
      <w:r>
        <w:tab/>
      </w:r>
      <w:r>
        <w:t>刘洪霞信访数量</w:t>
      </w:r>
      <w:r>
        <w:tab/>
      </w:r>
      <w:r>
        <w:t>刘洪霞信访数量</w:t>
      </w:r>
      <w:r>
        <w:tab/>
      </w:r>
      <w:r>
        <w:t>≥</w:t>
      </w:r>
      <w:r>
        <w:tab/>
      </w:r>
      <w:r>
        <w:t>90.00；2.质量指标</w:t>
      </w:r>
      <w:r>
        <w:tab/>
      </w:r>
      <w:r>
        <w:t>协调信访事项化解率</w:t>
      </w:r>
      <w:r>
        <w:tab/>
      </w:r>
      <w:r>
        <w:t>协调信访事项化解率</w:t>
      </w:r>
      <w:r>
        <w:tab/>
      </w:r>
      <w:r>
        <w:t>≥</w:t>
      </w:r>
      <w:r>
        <w:tab/>
      </w:r>
      <w:r>
        <w:t>90.00；3.时效指标</w:t>
      </w:r>
      <w:r>
        <w:tab/>
      </w:r>
      <w:r>
        <w:t>信访事项平息及时</w:t>
      </w:r>
      <w:r>
        <w:tab/>
      </w:r>
      <w:r>
        <w:t>信访事项平息及时</w:t>
      </w:r>
      <w:r>
        <w:tab/>
      </w:r>
      <w:r>
        <w:t>≥</w:t>
      </w:r>
      <w:r>
        <w:tab/>
      </w:r>
      <w:r>
        <w:t>90.00；4.成本指标</w:t>
      </w:r>
      <w:r>
        <w:tab/>
      </w:r>
      <w:r>
        <w:t>涉访事项投入成本</w:t>
      </w:r>
      <w:r>
        <w:tab/>
      </w:r>
      <w:r>
        <w:t>涉访事项投入成本</w:t>
      </w:r>
      <w:r>
        <w:tab/>
      </w:r>
      <w:r>
        <w:t>≥</w:t>
      </w:r>
      <w:r>
        <w:tab/>
      </w:r>
      <w:r>
        <w:t>90.00（二）效益指标，下设四个二级指标，经济效益指标</w:t>
      </w:r>
      <w:r>
        <w:tab/>
      </w:r>
      <w:r>
        <w:t>社会稳定提升情况</w:t>
      </w:r>
      <w:r>
        <w:tab/>
      </w:r>
      <w:r>
        <w:t>社会稳定提升情况</w:t>
      </w:r>
      <w:r>
        <w:tab/>
      </w:r>
      <w:r>
        <w:t>≥</w:t>
      </w:r>
      <w:r>
        <w:tab/>
      </w:r>
      <w:r>
        <w:t>90.00；2.社会效益指标</w:t>
      </w:r>
      <w:r>
        <w:tab/>
      </w:r>
      <w:r>
        <w:t>社会稳定水平</w:t>
      </w:r>
      <w:r>
        <w:tab/>
      </w:r>
      <w:r>
        <w:t>通过实施刘红霞信访经费促进社会稳定水平逐步提高</w:t>
      </w:r>
      <w:r>
        <w:tab/>
      </w:r>
      <w:r>
        <w:t>≥</w:t>
      </w:r>
      <w:r>
        <w:tab/>
      </w:r>
      <w:r>
        <w:t>90.00；3.生态效益指标</w:t>
      </w:r>
      <w:r>
        <w:tab/>
      </w:r>
      <w:r>
        <w:t>推动社会稳定发展</w:t>
      </w:r>
      <w:r>
        <w:tab/>
      </w:r>
      <w:r>
        <w:t>推动社会稳定发展</w:t>
      </w:r>
      <w:r>
        <w:tab/>
      </w:r>
      <w:r>
        <w:t>≥</w:t>
      </w:r>
      <w:r>
        <w:tab/>
      </w:r>
      <w:r>
        <w:t>90.00；4.可持续影响指标</w:t>
      </w:r>
      <w:r>
        <w:tab/>
      </w:r>
      <w:r>
        <w:t>项目持续发挥作用</w:t>
      </w:r>
      <w:r>
        <w:tab/>
      </w:r>
      <w:r>
        <w:t>项目持续发挥作用</w:t>
      </w:r>
      <w:r>
        <w:tab/>
      </w:r>
      <w:r>
        <w:t>≥</w:t>
      </w:r>
      <w:r>
        <w:tab/>
      </w:r>
      <w:r>
        <w:t>90.00。（三）满意度指标：群众满意度，指标值≥90%。（二）效益指标，下设四个二级指标，1.经济效益指标</w:t>
      </w:r>
      <w:r>
        <w:tab/>
      </w:r>
      <w:r>
        <w:t>机关及乡镇工作环境改善情况</w:t>
      </w:r>
      <w:r>
        <w:tab/>
      </w:r>
      <w:r>
        <w:t>机关及乡镇工作环境改善情况</w:t>
      </w:r>
      <w:r>
        <w:tab/>
      </w:r>
      <w:r>
        <w:t>≥</w:t>
      </w:r>
      <w:r>
        <w:tab/>
      </w:r>
      <w:r>
        <w:t>90.00；2.社会效益指标</w:t>
      </w:r>
      <w:r>
        <w:tab/>
      </w:r>
      <w:r>
        <w:t>各项工作完成情况</w:t>
      </w:r>
      <w:r>
        <w:tab/>
      </w:r>
      <w:r>
        <w:t>各项工作完成情况</w:t>
      </w:r>
      <w:r>
        <w:tab/>
      </w:r>
      <w:r>
        <w:t>≥</w:t>
      </w:r>
      <w:r>
        <w:tab/>
      </w:r>
      <w:r>
        <w:t>90.00；3.生态效益指标</w:t>
      </w:r>
      <w:r>
        <w:tab/>
      </w:r>
      <w:r>
        <w:t>满足生态环保要求</w:t>
      </w:r>
      <w:r>
        <w:tab/>
      </w:r>
      <w:r>
        <w:t>满足生态环保要求</w:t>
      </w:r>
      <w:r>
        <w:tab/>
      </w:r>
      <w:r>
        <w:t>≥</w:t>
      </w:r>
      <w:r>
        <w:tab/>
      </w:r>
      <w:r>
        <w:t>90.00；4.可持续影响指标</w:t>
      </w:r>
      <w:r>
        <w:tab/>
      </w:r>
      <w:r>
        <w:t>工作完成后长期使用情况</w:t>
      </w:r>
      <w:r>
        <w:tab/>
      </w:r>
      <w:r>
        <w:t>工作完成后长期使用情况</w:t>
      </w:r>
      <w:r>
        <w:tab/>
      </w:r>
      <w:r>
        <w:t>≥</w:t>
      </w:r>
      <w:r>
        <w:tab/>
      </w:r>
      <w:r>
        <w:t>90.00（三）满意度指标：群众满意度，指标值≥90%。</w:t>
      </w:r>
    </w:p>
    <w:p>
      <w:pPr>
        <w:pStyle w:val="23"/>
      </w:pPr>
      <w:r>
        <w:t>下坎村7户过渡费</w:t>
      </w:r>
    </w:p>
    <w:p>
      <w:pPr>
        <w:pStyle w:val="23"/>
      </w:pPr>
      <w:r>
        <w:t>一级指标：（一）产出指标，下设四个二级指标，1.数量指标</w:t>
      </w:r>
      <w:r>
        <w:tab/>
      </w:r>
      <w:r>
        <w:t>过渡费涉及户数</w:t>
      </w:r>
      <w:r>
        <w:tab/>
      </w:r>
      <w:r>
        <w:t>过渡费涉及户数=</w:t>
      </w:r>
      <w:r>
        <w:tab/>
      </w:r>
      <w:r>
        <w:t>≥</w:t>
      </w:r>
      <w:r>
        <w:tab/>
      </w:r>
      <w:r>
        <w:t>90.00；2.质量指标</w:t>
      </w:r>
      <w:r>
        <w:tab/>
      </w:r>
      <w:r>
        <w:t>完成工作质量</w:t>
      </w:r>
      <w:r>
        <w:tab/>
      </w:r>
      <w:r>
        <w:t>完成工作质量</w:t>
      </w:r>
      <w:r>
        <w:tab/>
      </w:r>
      <w:r>
        <w:t>≥</w:t>
      </w:r>
      <w:r>
        <w:tab/>
      </w:r>
      <w:r>
        <w:t>90.00；3.时效指标</w:t>
      </w:r>
      <w:r>
        <w:tab/>
      </w:r>
      <w:r>
        <w:t>工期完工时间</w:t>
      </w:r>
      <w:r>
        <w:tab/>
      </w:r>
      <w:r>
        <w:t>工期完工时间</w:t>
      </w:r>
      <w:r>
        <w:tab/>
      </w:r>
      <w:r>
        <w:t>≥90.00；4.成本指标</w:t>
      </w:r>
      <w:r>
        <w:tab/>
      </w:r>
      <w:r>
        <w:t>各项工作成本</w:t>
      </w:r>
      <w:r>
        <w:tab/>
      </w:r>
      <w:r>
        <w:t>各项工作成本</w:t>
      </w:r>
      <w:r>
        <w:tab/>
      </w:r>
      <w:r>
        <w:t>≥</w:t>
      </w:r>
      <w:r>
        <w:tab/>
      </w:r>
      <w:r>
        <w:t>90.00（二）效益指标，下设四个二级指标，1.经济效益指标</w:t>
      </w:r>
      <w:r>
        <w:tab/>
      </w:r>
      <w:r>
        <w:t>拆迁对环境改善情况</w:t>
      </w:r>
      <w:r>
        <w:tab/>
      </w:r>
      <w:r>
        <w:t>拆迁对环境改善情况</w:t>
      </w:r>
      <w:r>
        <w:tab/>
      </w:r>
      <w:r>
        <w:t>≥</w:t>
      </w:r>
      <w:r>
        <w:tab/>
      </w:r>
      <w:r>
        <w:t>90.00；2.社会效益指标</w:t>
      </w:r>
      <w:r>
        <w:tab/>
      </w:r>
      <w:r>
        <w:t>对社会环境的影响</w:t>
      </w:r>
      <w:r>
        <w:tab/>
      </w:r>
      <w:r>
        <w:t>对社会环境的影响≥90.00；3.生态效益指标</w:t>
      </w:r>
      <w:r>
        <w:tab/>
      </w:r>
      <w:r>
        <w:t>满足生态环保要求</w:t>
      </w:r>
      <w:r>
        <w:tab/>
      </w:r>
      <w:r>
        <w:t>满足生态环保要求</w:t>
      </w:r>
      <w:r>
        <w:tab/>
      </w:r>
      <w:r>
        <w:t>≥</w:t>
      </w:r>
      <w:r>
        <w:tab/>
      </w:r>
      <w:r>
        <w:t>90.00；4.可持续影响指标</w:t>
      </w:r>
      <w:r>
        <w:tab/>
      </w:r>
      <w:r>
        <w:t>建立长效机制</w:t>
      </w:r>
      <w:r>
        <w:tab/>
      </w:r>
      <w:r>
        <w:t>建立长效机制</w:t>
      </w:r>
      <w:r>
        <w:tab/>
      </w:r>
      <w:r>
        <w:t>≥</w:t>
      </w:r>
      <w:r>
        <w:tab/>
      </w:r>
      <w:r>
        <w:t>90.00</w:t>
      </w:r>
    </w:p>
    <w:p>
      <w:pPr>
        <w:pStyle w:val="23"/>
      </w:pPr>
      <w:r>
        <w:t>乡镇人大工作站经费</w:t>
      </w:r>
    </w:p>
    <w:p>
      <w:pPr>
        <w:pStyle w:val="23"/>
      </w:pPr>
      <w:r>
        <w:t>一级指标：（一）产出指标，下设四个二级指标，1、数量指标</w:t>
      </w:r>
      <w:r>
        <w:tab/>
      </w:r>
      <w:r>
        <w:t>人大活动数量；人大活动数量</w:t>
      </w:r>
      <w:r>
        <w:tab/>
      </w:r>
      <w:r>
        <w:t>；百分比≥</w:t>
      </w:r>
      <w:r>
        <w:tab/>
      </w:r>
      <w:r>
        <w:t>90.00；2、质量指标</w:t>
      </w:r>
      <w:r>
        <w:tab/>
      </w:r>
      <w:r>
        <w:t>人大会议完成率</w:t>
      </w:r>
      <w:r>
        <w:tab/>
      </w:r>
      <w:r>
        <w:t>人大会议完成率；百分比≥90.00；3、时效指标</w:t>
      </w:r>
      <w:r>
        <w:tab/>
      </w:r>
      <w:r>
        <w:t>年内活动完成</w:t>
      </w:r>
      <w:r>
        <w:tab/>
      </w:r>
      <w:r>
        <w:t>年内活动完成；百分比≥</w:t>
      </w:r>
      <w:r>
        <w:tab/>
      </w:r>
      <w:r>
        <w:t>90.00；4、成本指标 预算资金完成率</w:t>
      </w:r>
      <w:r>
        <w:tab/>
      </w:r>
      <w:r>
        <w:t>预算资金完成率</w:t>
      </w:r>
      <w:r>
        <w:tab/>
      </w:r>
      <w:r>
        <w:t>百分比≥90.00（二）效益指标，下设四个二级指标，1、经济效益指标；新增经济效益</w:t>
      </w:r>
      <w:r>
        <w:tab/>
      </w:r>
      <w:r>
        <w:t>新增经济效益；百分比≥90.00；2、社会效益指标</w:t>
      </w:r>
      <w:r>
        <w:tab/>
      </w:r>
      <w:r>
        <w:t>社会稳定水平；社会稳定水平</w:t>
      </w:r>
      <w:r>
        <w:tab/>
      </w:r>
      <w:r>
        <w:t>百分比≥90.00；3、生态效益指标</w:t>
      </w:r>
      <w:r>
        <w:tab/>
      </w:r>
      <w:r>
        <w:t>保障人大工作运转效率</w:t>
      </w:r>
      <w:r>
        <w:tab/>
      </w:r>
      <w:r>
        <w:t>保障人大工作运转效率；百分比≥90.00；4、可持续影响指标；建全长效机制</w:t>
      </w:r>
      <w:r>
        <w:tab/>
      </w:r>
      <w:r>
        <w:t>建全长效机制；百分比≥90.00（三）服务对象满意度指标</w:t>
      </w:r>
      <w:r>
        <w:tab/>
      </w:r>
      <w:r>
        <w:t>服务对象满意度</w:t>
      </w:r>
      <w:r>
        <w:tab/>
      </w:r>
      <w:r>
        <w:t>服务对象满意度</w:t>
      </w:r>
      <w:r>
        <w:tab/>
      </w:r>
      <w:r>
        <w:t>百分比≥90.00</w:t>
      </w:r>
    </w:p>
    <w:p>
      <w:pPr>
        <w:pStyle w:val="23"/>
      </w:pPr>
      <w:r>
        <w:t>安保、环保、安全生产、食药监管</w:t>
      </w:r>
    </w:p>
    <w:p>
      <w:pPr>
        <w:pStyle w:val="23"/>
      </w:pPr>
      <w:r>
        <w:t>一级指标：（一）产出指标，下设四个二级指标，1、数量指标</w:t>
      </w:r>
      <w:r>
        <w:tab/>
      </w:r>
      <w:r>
        <w:t>完成各项工作数量；完成各项工作数量；百分比≥90.00；2、质量指标</w:t>
      </w:r>
      <w:r>
        <w:tab/>
      </w:r>
      <w:r>
        <w:t>各项工作完成率</w:t>
      </w:r>
      <w:r>
        <w:tab/>
      </w:r>
      <w:r>
        <w:t>各项工作完成率；百分比≥90.00；3、时效指标</w:t>
      </w:r>
      <w:r>
        <w:tab/>
      </w:r>
      <w:r>
        <w:t>各项工作完成时间</w:t>
      </w:r>
      <w:r>
        <w:tab/>
      </w:r>
      <w:r>
        <w:t>各项工作完成时间；百分比≥90.00；4、成本指标</w:t>
      </w:r>
      <w:r>
        <w:tab/>
      </w:r>
      <w:r>
        <w:t>各项工作所需成本；各项工作所需成本；百分比≥90.00；（二）效益指标，下设四个二级指标，1、经济效益指标</w:t>
      </w:r>
      <w:r>
        <w:tab/>
      </w:r>
      <w:r>
        <w:t>各项工作能力提升情况；各项工作能力提升情况；百分比≥90.00；2、社会效益指标</w:t>
      </w:r>
      <w:r>
        <w:tab/>
      </w:r>
      <w:r>
        <w:t>对本地其他工作的促进作用；对本地其他工作的促进作用；百分比≥90.00；3、生态效益指标</w:t>
      </w:r>
      <w:r>
        <w:tab/>
      </w:r>
      <w:r>
        <w:t>推动本地各项事业的发展</w:t>
      </w:r>
      <w:r>
        <w:tab/>
      </w:r>
      <w:r>
        <w:t>推动本地各项事业的发展；百分比≥90.00；4、可持续影响指标</w:t>
      </w:r>
      <w:r>
        <w:tab/>
      </w:r>
      <w:r>
        <w:t>项目持续发挥作用；项目持续发挥作用</w:t>
      </w:r>
      <w:r>
        <w:tab/>
      </w:r>
      <w:r>
        <w:t>百分比≥90.00；（三）服务对象满意度指标</w:t>
      </w:r>
      <w:r>
        <w:tab/>
      </w:r>
      <w:r>
        <w:t>群众满意度</w:t>
      </w:r>
      <w:r>
        <w:tab/>
      </w:r>
      <w:r>
        <w:t>群众满意度；百分比≥90.00</w:t>
      </w:r>
    </w:p>
    <w:p>
      <w:pPr>
        <w:pStyle w:val="23"/>
      </w:pPr>
      <w:r>
        <w:t>党团妇建、纪检、宣传、人武经费</w:t>
      </w:r>
    </w:p>
    <w:p>
      <w:pPr>
        <w:pStyle w:val="23"/>
      </w:pPr>
      <w:r>
        <w:t>一级指标：（一）产出指标，下设四个二级指标，1、数量指标</w:t>
      </w:r>
      <w:r>
        <w:tab/>
      </w:r>
      <w:r>
        <w:t>党团妇建宣传工作量</w:t>
      </w:r>
      <w:r>
        <w:tab/>
      </w:r>
      <w:r>
        <w:t>党团妇建宣传工作量；百分比≥90.00；2、质量指标</w:t>
      </w:r>
      <w:r>
        <w:tab/>
      </w:r>
      <w:r>
        <w:t>财政拨款保证率</w:t>
      </w:r>
      <w:r>
        <w:tab/>
      </w:r>
      <w:r>
        <w:t>财政拨款保证率</w:t>
      </w:r>
      <w:r>
        <w:tab/>
      </w:r>
      <w:r>
        <w:t>百分比≥90.00；3、时效指标</w:t>
      </w:r>
      <w:r>
        <w:tab/>
      </w:r>
      <w:r>
        <w:t>各项工作完成及时性</w:t>
      </w:r>
      <w:r>
        <w:tab/>
      </w:r>
      <w:r>
        <w:t>各项工作完成及时性；百分比≥90.00；4、成本指标；项目总成本；项目总成本；百分比≥90.00；（二）效益指标，下设四个二级指标，1、经济效益指标</w:t>
      </w:r>
      <w:r>
        <w:tab/>
      </w:r>
      <w:r>
        <w:t>对周边经济环境的促进；对周边经济环境的促进</w:t>
      </w:r>
      <w:r>
        <w:tab/>
      </w:r>
      <w:r>
        <w:t>百分比≥90.00；2、社会效益指标</w:t>
      </w:r>
      <w:r>
        <w:tab/>
      </w:r>
      <w:r>
        <w:t>对社会稳定的影响；对社会稳定的影响</w:t>
      </w:r>
      <w:r>
        <w:tab/>
      </w:r>
      <w:r>
        <w:t>百分比≥90.00；3、生态效益指标</w:t>
      </w:r>
      <w:r>
        <w:tab/>
      </w:r>
      <w:r>
        <w:t>对生态环境的影响</w:t>
      </w:r>
      <w:r>
        <w:tab/>
      </w:r>
      <w:r>
        <w:t>对生态环境的影响；百分比≥90.00；4、可持续影响指标</w:t>
      </w:r>
      <w:r>
        <w:tab/>
      </w:r>
      <w:r>
        <w:t>建立长效机制</w:t>
      </w:r>
      <w:r>
        <w:tab/>
      </w:r>
      <w:r>
        <w:t>建立长效机制；百分比≥90.00；（三）服务对象满意度指标</w:t>
      </w:r>
      <w:r>
        <w:tab/>
      </w:r>
      <w:r>
        <w:t>群众满意度</w:t>
      </w:r>
      <w:r>
        <w:tab/>
      </w:r>
      <w:r>
        <w:t>群众满意度；百分比≥90.00（三）满意度指标：群众满意度，指标值≥90%。</w:t>
      </w:r>
    </w:p>
    <w:p>
      <w:pPr>
        <w:pStyle w:val="23"/>
      </w:pPr>
      <w:r>
        <w:t>信访维稳</w:t>
      </w:r>
    </w:p>
    <w:p>
      <w:pPr>
        <w:pStyle w:val="23"/>
      </w:pPr>
      <w:r>
        <w:t>一级指标：（一）产出指标，下设四个二级指标，1.数量指标：信访新增率预期指标值≤30%；2.质量指标：信访问题在县内解决率，指标值≥90%；3.时效指标：信访问题来信与回复间隔时长是否符合规定，指标值≥90%；4.成本指标：预算资金完成率，指标值≥90%。（二）效益指标，下设四个二级指标：1.经济效益指标：维护经济安全生产，指标值≥90%；2.社会效益指标：社会稳定水平，指标值≥90%；3.生态效益指标：达到绿色产业标准，指标值≥90%；4.可持续性指标：监控时效，指标值≥90%。（三）满意度指标：维稳居民满意度，指标值≥90%。</w:t>
      </w:r>
    </w:p>
    <w:p>
      <w:pPr>
        <w:pStyle w:val="23"/>
      </w:pPr>
      <w:r>
        <w:t>疫情防控临时救助点资金</w:t>
      </w:r>
    </w:p>
    <w:p>
      <w:pPr>
        <w:pStyle w:val="23"/>
      </w:pPr>
      <w:r>
        <w:t>一级指标：（一）产出指标，下设四个二级指标，1.数量指标：疫情防控救助点数量 疫情防控救助点数量≥90%；2.质量指标：疫情防控救助点利用率 疫情防控救助点利用率，指标值≥90%；3.时效指标：疫情防控救助及时性，疫情防控救助及时性≥90%；4.成本指标：预算资金完成率，指标值≥90%。（二）效益指标，下设四个二级指标：1.经济效益指标：对经济环境的促进作用 对经济环境的促进作用，指标值≥90%；2.社会效益指标：社会稳定水平 社会稳定水平，指标值≥90%；3.生态效益指标：达到绿色产业标准，指标值≥90%；4.可持续性指标：监控时效，指标值≥90%（三）满意度指标：维稳居民满意度，指标值≥90%。</w:t>
      </w:r>
    </w:p>
    <w:p>
      <w:pPr>
        <w:pStyle w:val="23"/>
      </w:pPr>
      <w:r>
        <w:t>葛长波信访救助金</w:t>
      </w:r>
    </w:p>
    <w:p>
      <w:pPr>
        <w:pStyle w:val="23"/>
      </w:pPr>
      <w:r>
        <w:t>一级指标：（一）产出指标，下设四个二级指标，1.数量指标</w:t>
      </w:r>
      <w:r>
        <w:tab/>
      </w:r>
      <w:r>
        <w:t>葛长波信访数量</w:t>
      </w:r>
      <w:r>
        <w:tab/>
      </w:r>
      <w:r>
        <w:t>葛长波信访数量</w:t>
      </w:r>
      <w:r>
        <w:tab/>
      </w:r>
      <w:r>
        <w:t>≥</w:t>
      </w:r>
      <w:r>
        <w:tab/>
      </w:r>
      <w:r>
        <w:t>90.00；2.质量指标</w:t>
      </w:r>
      <w:r>
        <w:tab/>
      </w:r>
      <w:r>
        <w:t>协调信访事项化解率</w:t>
      </w:r>
      <w:r>
        <w:tab/>
      </w:r>
      <w:r>
        <w:t>协调信访事项化解率</w:t>
      </w:r>
      <w:r>
        <w:tab/>
      </w:r>
      <w:r>
        <w:t>≥</w:t>
      </w:r>
      <w:r>
        <w:tab/>
      </w:r>
      <w:r>
        <w:t>90.00；3.时效指标</w:t>
      </w:r>
      <w:r>
        <w:tab/>
      </w:r>
      <w:r>
        <w:t>信访事项平息及时</w:t>
      </w:r>
      <w:r>
        <w:tab/>
      </w:r>
      <w:r>
        <w:t>信访事项平息及时</w:t>
      </w:r>
      <w:r>
        <w:tab/>
      </w:r>
      <w:r>
        <w:t>≥</w:t>
      </w:r>
      <w:r>
        <w:tab/>
      </w:r>
      <w:r>
        <w:t>90.00；4.成本指标</w:t>
      </w:r>
      <w:r>
        <w:tab/>
      </w:r>
      <w:r>
        <w:t>涉访事项投入成本</w:t>
      </w:r>
      <w:r>
        <w:tab/>
      </w:r>
      <w:r>
        <w:t>涉访事项投入成本≥90.00（二）效益指标，下设四个二级指标，经济效益指标</w:t>
      </w:r>
      <w:r>
        <w:tab/>
      </w:r>
      <w:r>
        <w:t>社会稳定提升情况</w:t>
      </w:r>
      <w:r>
        <w:tab/>
      </w:r>
      <w:r>
        <w:t>社会稳定提升情况</w:t>
      </w:r>
      <w:r>
        <w:tab/>
      </w:r>
      <w:r>
        <w:t>≥</w:t>
      </w:r>
      <w:r>
        <w:tab/>
      </w:r>
      <w:r>
        <w:t>90.00；2.社会效益指标</w:t>
      </w:r>
      <w:r>
        <w:tab/>
      </w:r>
      <w:r>
        <w:t>社会稳定水平</w:t>
      </w:r>
      <w:r>
        <w:tab/>
      </w:r>
      <w:r>
        <w:t>通过实施葛长波信访经费促进社会稳定水平逐步提高</w:t>
      </w:r>
      <w:r>
        <w:tab/>
      </w:r>
      <w:r>
        <w:t>≥</w:t>
      </w:r>
      <w:r>
        <w:tab/>
      </w:r>
      <w:r>
        <w:t>90.00；3.生态效益指标</w:t>
      </w:r>
      <w:r>
        <w:tab/>
      </w:r>
      <w:r>
        <w:t>推动社会稳定发展</w:t>
      </w:r>
      <w:r>
        <w:tab/>
      </w:r>
      <w:r>
        <w:t>推动社会稳定发展</w:t>
      </w:r>
      <w:r>
        <w:tab/>
      </w:r>
      <w:r>
        <w:t>≥</w:t>
      </w:r>
      <w:r>
        <w:tab/>
      </w:r>
      <w:r>
        <w:t>90.00；4.可持续影响指标</w:t>
      </w:r>
      <w:r>
        <w:rPr>
          <w:rFonts w:hint="eastAsia"/>
          <w:lang w:eastAsia="zh-CN"/>
        </w:rPr>
        <w:t>；</w:t>
      </w:r>
      <w:r>
        <w:t>项目持续发挥作用</w:t>
      </w:r>
      <w:r>
        <w:tab/>
      </w:r>
      <w:r>
        <w:t>项目持续发挥作用≥90.00。（三）满意度指标：群众满意度，指标值≥90%。</w:t>
      </w:r>
    </w:p>
    <w:p>
      <w:pPr>
        <w:pStyle w:val="23"/>
      </w:pPr>
      <w:r>
        <w:t>孟丽珍信访救助金</w:t>
      </w:r>
    </w:p>
    <w:p>
      <w:pPr>
        <w:pStyle w:val="23"/>
      </w:pPr>
      <w:r>
        <w:t>一级指标：（一）产出指标，下设四个二级指标，1.数量指标</w:t>
      </w:r>
      <w:r>
        <w:tab/>
      </w:r>
      <w:r>
        <w:t>孟丽珍信访数量</w:t>
      </w:r>
      <w:r>
        <w:tab/>
      </w:r>
      <w:r>
        <w:t>孟丽珍信访数量</w:t>
      </w:r>
      <w:r>
        <w:tab/>
      </w:r>
      <w:r>
        <w:t>≥</w:t>
      </w:r>
      <w:r>
        <w:tab/>
      </w:r>
      <w:r>
        <w:t>90.00；2.质量指标</w:t>
      </w:r>
      <w:r>
        <w:tab/>
      </w:r>
      <w:r>
        <w:t>协调信访事项化解率</w:t>
      </w:r>
      <w:r>
        <w:tab/>
      </w:r>
      <w:r>
        <w:t>协调信访事项化解率≥90.00；3.时效指标</w:t>
      </w:r>
      <w:r>
        <w:tab/>
      </w:r>
      <w:r>
        <w:t>信访事项平息及时</w:t>
      </w:r>
      <w:r>
        <w:tab/>
      </w:r>
      <w:r>
        <w:t>信访事项平息及时≥90.00；4.成本指标</w:t>
      </w:r>
      <w:r>
        <w:tab/>
      </w:r>
      <w:r>
        <w:t>涉访事项投入成本</w:t>
      </w:r>
      <w:r>
        <w:tab/>
      </w:r>
      <w:r>
        <w:t>涉访事项投入成本≥90.00（二）效益指标，下设四个二级指标，经济效益指标</w:t>
      </w:r>
      <w:r>
        <w:tab/>
      </w:r>
      <w:r>
        <w:t>社会稳定提升情况</w:t>
      </w:r>
      <w:r>
        <w:tab/>
      </w:r>
      <w:r>
        <w:t>社会稳定提升情况≥90.00；2.社会效益指标</w:t>
      </w:r>
      <w:r>
        <w:tab/>
      </w:r>
      <w:r>
        <w:t>社会稳定水平</w:t>
      </w:r>
      <w:r>
        <w:tab/>
      </w:r>
      <w:r>
        <w:t>通过实施孟丽珍信访经费促进社会稳定水平逐步提高≥</w:t>
      </w:r>
      <w:r>
        <w:tab/>
      </w:r>
      <w:r>
        <w:t>90.00；3.生态效益指标</w:t>
      </w:r>
      <w:r>
        <w:tab/>
      </w:r>
      <w:r>
        <w:t>推动社会稳定发展</w:t>
      </w:r>
      <w:r>
        <w:tab/>
      </w:r>
      <w:r>
        <w:t>推动社会稳定发展≥90.00；4.可持续影响指标</w:t>
      </w:r>
      <w:r>
        <w:tab/>
      </w:r>
      <w:r>
        <w:t>项目持续发挥作用</w:t>
      </w:r>
      <w:r>
        <w:tab/>
      </w:r>
      <w:r>
        <w:t>项目持续发挥作用≥90.00。（三）满意度指标：群众满意度，指标值≥90%。</w:t>
      </w:r>
    </w:p>
    <w:p>
      <w:pPr>
        <w:spacing w:before="0" w:after="0" w:line="500" w:lineRule="exact"/>
        <w:jc w:val="left"/>
        <w:outlineLvl w:val="9"/>
      </w:pPr>
      <w:r>
        <w:rPr>
          <w:rFonts w:hint="eastAsia" w:eastAsia="方正仿宋_GBK" w:cs="Times New Roman"/>
          <w:color w:val="000000"/>
          <w:sz w:val="28"/>
          <w:lang w:eastAsia="zh-CN"/>
        </w:rPr>
        <w:t>　</w:t>
      </w: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cols w:space="720" w:num="1"/>
        </w:sectPr>
      </w:pPr>
      <w:r>
        <w:t>为实现上述本年度的发展规划目标，我镇主要拟定了以下几项保障措施：1、加大农村人居环境整治工作，成立了领导小组，下设办公室，制定相关细则，全镇村内道路逐步硬化、绿化；2.管理约束各村村干部、计生专干、卫生保洁员，形成制度；3、每月开展一次矛盾大排查活动，坚持抓早、抓实、抓到村，对重难点案件逐步化解，对新的矛盾及时处理做到小事不出村、镇；4、积极协调村与垃圾清运服务公司的各项事宜。</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1、2025年绿化租地款绩效目标表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13022925P00020810008B</w:t>
            </w:r>
          </w:p>
        </w:tc>
        <w:tc>
          <w:tcPr>
            <w:tcW w:w="2835" w:type="dxa"/>
            <w:vAlign w:val="center"/>
          </w:tcPr>
          <w:p>
            <w:pPr>
              <w:pStyle w:val="11"/>
            </w:pPr>
            <w:r>
              <w:t>项目名称</w:t>
            </w:r>
          </w:p>
        </w:tc>
        <w:tc>
          <w:tcPr>
            <w:tcW w:w="6095" w:type="dxa"/>
            <w:gridSpan w:val="3"/>
            <w:vAlign w:val="center"/>
          </w:tcPr>
          <w:p>
            <w:pPr>
              <w:pStyle w:val="13"/>
            </w:pPr>
            <w:r>
              <w:t>2025年绿化租地款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4487742.00</w:t>
            </w:r>
          </w:p>
        </w:tc>
        <w:tc>
          <w:tcPr>
            <w:tcW w:w="2835" w:type="dxa"/>
            <w:vAlign w:val="center"/>
          </w:tcPr>
          <w:p>
            <w:pPr>
              <w:pStyle w:val="11"/>
            </w:pPr>
            <w:r>
              <w:t>其中：财政    资金</w:t>
            </w:r>
          </w:p>
        </w:tc>
        <w:tc>
          <w:tcPr>
            <w:tcW w:w="2551" w:type="dxa"/>
            <w:vAlign w:val="center"/>
          </w:tcPr>
          <w:p>
            <w:pPr>
              <w:pStyle w:val="13"/>
            </w:pPr>
            <w:r>
              <w:t>4487742.00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2025年绿化租地款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1.资金到位后，及时拨付给相关个人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租地亩数</w:t>
            </w:r>
          </w:p>
        </w:tc>
        <w:tc>
          <w:tcPr>
            <w:tcW w:w="5386" w:type="dxa"/>
            <w:vAlign w:val="center"/>
          </w:tcPr>
          <w:p>
            <w:pPr>
              <w:pStyle w:val="13"/>
            </w:pPr>
            <w:r>
              <w:t>租地亩数</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租地完成率</w:t>
            </w:r>
          </w:p>
        </w:tc>
        <w:tc>
          <w:tcPr>
            <w:tcW w:w="5386" w:type="dxa"/>
            <w:vAlign w:val="center"/>
          </w:tcPr>
          <w:p>
            <w:pPr>
              <w:pStyle w:val="13"/>
            </w:pPr>
            <w:r>
              <w:t>租地完成率</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租地完成时限</w:t>
            </w:r>
          </w:p>
        </w:tc>
        <w:tc>
          <w:tcPr>
            <w:tcW w:w="5386" w:type="dxa"/>
            <w:vAlign w:val="center"/>
          </w:tcPr>
          <w:p>
            <w:pPr>
              <w:pStyle w:val="13"/>
            </w:pPr>
            <w:r>
              <w:t>租地完成时限</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绿化租地成本 </w:t>
            </w:r>
          </w:p>
        </w:tc>
        <w:tc>
          <w:tcPr>
            <w:tcW w:w="5386" w:type="dxa"/>
            <w:vAlign w:val="center"/>
          </w:tcPr>
          <w:p>
            <w:pPr>
              <w:pStyle w:val="13"/>
            </w:pPr>
            <w:r>
              <w:t xml:space="preserve">绿化租地成本 </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绿化总规模</w:t>
            </w:r>
          </w:p>
        </w:tc>
        <w:tc>
          <w:tcPr>
            <w:tcW w:w="5386" w:type="dxa"/>
            <w:vAlign w:val="center"/>
          </w:tcPr>
          <w:p>
            <w:pPr>
              <w:pStyle w:val="13"/>
            </w:pPr>
            <w:r>
              <w:t>绿化总规模</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绿化对环境的影响</w:t>
            </w:r>
          </w:p>
        </w:tc>
        <w:tc>
          <w:tcPr>
            <w:tcW w:w="5386" w:type="dxa"/>
            <w:vAlign w:val="center"/>
          </w:tcPr>
          <w:p>
            <w:pPr>
              <w:pStyle w:val="13"/>
            </w:pPr>
            <w:r>
              <w:t>绿化对环境的影响</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推动环保事业的发展</w:t>
            </w:r>
          </w:p>
        </w:tc>
        <w:tc>
          <w:tcPr>
            <w:tcW w:w="5386" w:type="dxa"/>
            <w:vAlign w:val="center"/>
          </w:tcPr>
          <w:p>
            <w:pPr>
              <w:pStyle w:val="13"/>
            </w:pPr>
            <w:r>
              <w:t>推动环保事业的发展</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县委县政府确定</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2、安保、环保、安全生产、应急、食药监管绩效目标表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13022925P00JXC419420N</w:t>
            </w:r>
          </w:p>
        </w:tc>
        <w:tc>
          <w:tcPr>
            <w:tcW w:w="2835" w:type="dxa"/>
            <w:vAlign w:val="center"/>
          </w:tcPr>
          <w:p>
            <w:pPr>
              <w:pStyle w:val="11"/>
            </w:pPr>
            <w:r>
              <w:t>项目名称</w:t>
            </w:r>
          </w:p>
        </w:tc>
        <w:tc>
          <w:tcPr>
            <w:tcW w:w="6095" w:type="dxa"/>
            <w:gridSpan w:val="3"/>
            <w:vAlign w:val="center"/>
          </w:tcPr>
          <w:p>
            <w:pPr>
              <w:pStyle w:val="13"/>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1.安保、环保、安全生产、应急、食药监管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安保环保安全生产应急等工作量</w:t>
            </w:r>
          </w:p>
        </w:tc>
        <w:tc>
          <w:tcPr>
            <w:tcW w:w="5386" w:type="dxa"/>
            <w:vAlign w:val="center"/>
          </w:tcPr>
          <w:p>
            <w:pPr>
              <w:pStyle w:val="13"/>
            </w:pPr>
            <w:r>
              <w:t>安保环保安全生产应急等工作量</w:t>
            </w:r>
          </w:p>
        </w:tc>
        <w:tc>
          <w:tcPr>
            <w:tcW w:w="2268" w:type="dxa"/>
            <w:vAlign w:val="center"/>
          </w:tcPr>
          <w:p>
            <w:pPr>
              <w:pStyle w:val="13"/>
            </w:pPr>
            <w:r>
              <w:t>≥90百分比</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财政拨款保证率</w:t>
            </w:r>
          </w:p>
        </w:tc>
        <w:tc>
          <w:tcPr>
            <w:tcW w:w="5386" w:type="dxa"/>
            <w:vAlign w:val="center"/>
          </w:tcPr>
          <w:p>
            <w:pPr>
              <w:pStyle w:val="13"/>
            </w:pPr>
            <w:r>
              <w:t>财政拨款保证率</w:t>
            </w:r>
          </w:p>
        </w:tc>
        <w:tc>
          <w:tcPr>
            <w:tcW w:w="2268" w:type="dxa"/>
            <w:vAlign w:val="center"/>
          </w:tcPr>
          <w:p>
            <w:pPr>
              <w:pStyle w:val="13"/>
            </w:pPr>
            <w:r>
              <w:t>≥90百分比</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各项工作完成及时性</w:t>
            </w:r>
          </w:p>
        </w:tc>
        <w:tc>
          <w:tcPr>
            <w:tcW w:w="5386" w:type="dxa"/>
            <w:vAlign w:val="center"/>
          </w:tcPr>
          <w:p>
            <w:pPr>
              <w:pStyle w:val="13"/>
            </w:pPr>
            <w:r>
              <w:t>各项工作完成及时性</w:t>
            </w:r>
          </w:p>
        </w:tc>
        <w:tc>
          <w:tcPr>
            <w:tcW w:w="2268" w:type="dxa"/>
            <w:vAlign w:val="center"/>
          </w:tcPr>
          <w:p>
            <w:pPr>
              <w:pStyle w:val="13"/>
            </w:pPr>
            <w:r>
              <w:t>≥90百分比</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≥90百分比</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对周边经济环境的促进</w:t>
            </w:r>
          </w:p>
        </w:tc>
        <w:tc>
          <w:tcPr>
            <w:tcW w:w="5386" w:type="dxa"/>
            <w:vAlign w:val="center"/>
          </w:tcPr>
          <w:p>
            <w:pPr>
              <w:pStyle w:val="13"/>
            </w:pPr>
            <w:r>
              <w:t>对周边经济环境的促进</w:t>
            </w:r>
          </w:p>
        </w:tc>
        <w:tc>
          <w:tcPr>
            <w:tcW w:w="2268" w:type="dxa"/>
            <w:vAlign w:val="center"/>
          </w:tcPr>
          <w:p>
            <w:pPr>
              <w:pStyle w:val="13"/>
            </w:pPr>
            <w:r>
              <w:t>≥90百分比</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对社会稳定的影响</w:t>
            </w:r>
          </w:p>
        </w:tc>
        <w:tc>
          <w:tcPr>
            <w:tcW w:w="5386" w:type="dxa"/>
            <w:vAlign w:val="center"/>
          </w:tcPr>
          <w:p>
            <w:pPr>
              <w:pStyle w:val="13"/>
            </w:pPr>
            <w:r>
              <w:t>对社会稳定的影响</w:t>
            </w:r>
          </w:p>
        </w:tc>
        <w:tc>
          <w:tcPr>
            <w:tcW w:w="2268" w:type="dxa"/>
            <w:vAlign w:val="center"/>
          </w:tcPr>
          <w:p>
            <w:pPr>
              <w:pStyle w:val="13"/>
            </w:pPr>
            <w:r>
              <w:t>≥90百分比</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对生态环境的影响</w:t>
            </w:r>
          </w:p>
        </w:tc>
        <w:tc>
          <w:tcPr>
            <w:tcW w:w="5386" w:type="dxa"/>
            <w:vAlign w:val="center"/>
          </w:tcPr>
          <w:p>
            <w:pPr>
              <w:pStyle w:val="13"/>
            </w:pPr>
            <w:r>
              <w:t>对生态环境的影响</w:t>
            </w:r>
          </w:p>
        </w:tc>
        <w:tc>
          <w:tcPr>
            <w:tcW w:w="2268" w:type="dxa"/>
            <w:vAlign w:val="center"/>
          </w:tcPr>
          <w:p>
            <w:pPr>
              <w:pStyle w:val="13"/>
            </w:pPr>
            <w:r>
              <w:t>≥90百分比</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建立长效机制</w:t>
            </w:r>
          </w:p>
        </w:tc>
        <w:tc>
          <w:tcPr>
            <w:tcW w:w="5386" w:type="dxa"/>
            <w:vAlign w:val="center"/>
          </w:tcPr>
          <w:p>
            <w:pPr>
              <w:pStyle w:val="13"/>
            </w:pPr>
            <w:r>
              <w:t>建立长效机制</w:t>
            </w:r>
          </w:p>
        </w:tc>
        <w:tc>
          <w:tcPr>
            <w:tcW w:w="2268" w:type="dxa"/>
            <w:vAlign w:val="center"/>
          </w:tcPr>
          <w:p>
            <w:pPr>
              <w:pStyle w:val="13"/>
            </w:pPr>
            <w:r>
              <w:t>≥90百分比</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13022925P00JXC419637E</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161000.00</w:t>
            </w:r>
          </w:p>
        </w:tc>
        <w:tc>
          <w:tcPr>
            <w:tcW w:w="2835" w:type="dxa"/>
            <w:vAlign w:val="center"/>
          </w:tcPr>
          <w:p>
            <w:pPr>
              <w:pStyle w:val="11"/>
            </w:pPr>
            <w:r>
              <w:t>其中：财政    资金</w:t>
            </w:r>
          </w:p>
        </w:tc>
        <w:tc>
          <w:tcPr>
            <w:tcW w:w="2551" w:type="dxa"/>
            <w:vAlign w:val="center"/>
          </w:tcPr>
          <w:p>
            <w:pPr>
              <w:pStyle w:val="13"/>
            </w:pPr>
            <w:r>
              <w:t>161000.00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残疾人保障qq金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1.2025年按时完成支付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本单位涉及缴纳残保金人数</w:t>
            </w:r>
          </w:p>
        </w:tc>
        <w:tc>
          <w:tcPr>
            <w:tcW w:w="5386" w:type="dxa"/>
            <w:vAlign w:val="center"/>
          </w:tcPr>
          <w:p>
            <w:pPr>
              <w:pStyle w:val="13"/>
            </w:pPr>
            <w:r>
              <w:t>本单位涉及缴纳残保金人数</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完成缴纳残保金情况</w:t>
            </w:r>
          </w:p>
        </w:tc>
        <w:tc>
          <w:tcPr>
            <w:tcW w:w="5386" w:type="dxa"/>
            <w:vAlign w:val="center"/>
          </w:tcPr>
          <w:p>
            <w:pPr>
              <w:pStyle w:val="13"/>
            </w:pPr>
            <w:r>
              <w:t>完成缴纳残保金情况</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按时缴纳</w:t>
            </w:r>
          </w:p>
        </w:tc>
        <w:tc>
          <w:tcPr>
            <w:tcW w:w="5386" w:type="dxa"/>
            <w:vAlign w:val="center"/>
          </w:tcPr>
          <w:p>
            <w:pPr>
              <w:pStyle w:val="13"/>
            </w:pPr>
            <w:r>
              <w:t>按时缴纳</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涉及缴纳总金额</w:t>
            </w:r>
          </w:p>
        </w:tc>
        <w:tc>
          <w:tcPr>
            <w:tcW w:w="5386" w:type="dxa"/>
            <w:vAlign w:val="center"/>
          </w:tcPr>
          <w:p>
            <w:pPr>
              <w:pStyle w:val="13"/>
            </w:pPr>
            <w:r>
              <w:t>涉及缴纳总金额</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该项目对当地经济环境的影响</w:t>
            </w:r>
          </w:p>
        </w:tc>
        <w:tc>
          <w:tcPr>
            <w:tcW w:w="5386" w:type="dxa"/>
            <w:vAlign w:val="center"/>
          </w:tcPr>
          <w:p>
            <w:pPr>
              <w:pStyle w:val="13"/>
            </w:pPr>
            <w:r>
              <w:t>该项目对当地经济环境的影响</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该项目对周边社会舆论的影响</w:t>
            </w:r>
          </w:p>
        </w:tc>
        <w:tc>
          <w:tcPr>
            <w:tcW w:w="5386" w:type="dxa"/>
            <w:vAlign w:val="center"/>
          </w:tcPr>
          <w:p>
            <w:pPr>
              <w:pStyle w:val="13"/>
            </w:pPr>
            <w:r>
              <w:t>该项目对周边社会舆论的影响</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该项目对生态环境的影响</w:t>
            </w:r>
          </w:p>
        </w:tc>
        <w:tc>
          <w:tcPr>
            <w:tcW w:w="5386" w:type="dxa"/>
            <w:vAlign w:val="center"/>
          </w:tcPr>
          <w:p>
            <w:pPr>
              <w:pStyle w:val="13"/>
            </w:pPr>
            <w:r>
              <w:t>该项目对生态环境的影响</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建立健全长效机制</w:t>
            </w:r>
          </w:p>
        </w:tc>
        <w:tc>
          <w:tcPr>
            <w:tcW w:w="5386" w:type="dxa"/>
            <w:vAlign w:val="center"/>
          </w:tcPr>
          <w:p>
            <w:pPr>
              <w:pStyle w:val="13"/>
            </w:pPr>
            <w:r>
              <w:t>建立健全长效机制</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4、河渠清理及河长制绩效目标表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13022925P00016410019P</w:t>
            </w:r>
          </w:p>
        </w:tc>
        <w:tc>
          <w:tcPr>
            <w:tcW w:w="2835" w:type="dxa"/>
            <w:vAlign w:val="center"/>
          </w:tcPr>
          <w:p>
            <w:pPr>
              <w:pStyle w:val="11"/>
            </w:pPr>
            <w:r>
              <w:t>项目名称</w:t>
            </w:r>
          </w:p>
        </w:tc>
        <w:tc>
          <w:tcPr>
            <w:tcW w:w="6095" w:type="dxa"/>
            <w:gridSpan w:val="3"/>
            <w:vAlign w:val="center"/>
          </w:tcPr>
          <w:p>
            <w:pPr>
              <w:pStyle w:val="13"/>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河渠清理及河长制经费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1.项目完成后，及时拨付到位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河长人数及河渠长度</w:t>
            </w:r>
          </w:p>
        </w:tc>
        <w:tc>
          <w:tcPr>
            <w:tcW w:w="5386" w:type="dxa"/>
            <w:vAlign w:val="center"/>
          </w:tcPr>
          <w:p>
            <w:pPr>
              <w:pStyle w:val="13"/>
            </w:pPr>
            <w:r>
              <w:t>河长人数及河渠长度</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河渠清理程度</w:t>
            </w:r>
          </w:p>
        </w:tc>
        <w:tc>
          <w:tcPr>
            <w:tcW w:w="5386" w:type="dxa"/>
            <w:vAlign w:val="center"/>
          </w:tcPr>
          <w:p>
            <w:pPr>
              <w:pStyle w:val="13"/>
            </w:pPr>
            <w:r>
              <w:t>河渠清理程度</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及时清理</w:t>
            </w:r>
          </w:p>
        </w:tc>
        <w:tc>
          <w:tcPr>
            <w:tcW w:w="5386" w:type="dxa"/>
            <w:vAlign w:val="center"/>
          </w:tcPr>
          <w:p>
            <w:pPr>
              <w:pStyle w:val="13"/>
            </w:pPr>
            <w:r>
              <w:t>及时清理</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河渠清理决成本</w:t>
            </w:r>
          </w:p>
        </w:tc>
        <w:tc>
          <w:tcPr>
            <w:tcW w:w="5386" w:type="dxa"/>
            <w:vAlign w:val="center"/>
          </w:tcPr>
          <w:p>
            <w:pPr>
              <w:pStyle w:val="13"/>
            </w:pPr>
            <w:r>
              <w:t>河渠清理决成本</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对周边经济的影响</w:t>
            </w:r>
          </w:p>
        </w:tc>
        <w:tc>
          <w:tcPr>
            <w:tcW w:w="5386" w:type="dxa"/>
            <w:vAlign w:val="center"/>
          </w:tcPr>
          <w:p>
            <w:pPr>
              <w:pStyle w:val="13"/>
            </w:pPr>
            <w:r>
              <w:t>对周边经济的影响</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对周边社会环境的影响</w:t>
            </w:r>
          </w:p>
        </w:tc>
        <w:tc>
          <w:tcPr>
            <w:tcW w:w="5386" w:type="dxa"/>
            <w:vAlign w:val="center"/>
          </w:tcPr>
          <w:p>
            <w:pPr>
              <w:pStyle w:val="13"/>
            </w:pPr>
            <w:r>
              <w:t>对周边社会环境的影响</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对河两侧生态环境的影响</w:t>
            </w:r>
          </w:p>
        </w:tc>
        <w:tc>
          <w:tcPr>
            <w:tcW w:w="5386" w:type="dxa"/>
            <w:vAlign w:val="center"/>
          </w:tcPr>
          <w:p>
            <w:pPr>
              <w:pStyle w:val="13"/>
            </w:pPr>
            <w:r>
              <w:t>对河两侧生态环境的影响</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建立长效机制</w:t>
            </w:r>
          </w:p>
        </w:tc>
        <w:tc>
          <w:tcPr>
            <w:tcW w:w="5386" w:type="dxa"/>
            <w:vAlign w:val="center"/>
          </w:tcPr>
          <w:p>
            <w:pPr>
              <w:pStyle w:val="13"/>
            </w:pPr>
            <w:r>
              <w:t>建立长效机制</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5、人武、党建团妇建设、纪检、宣传经费绩效目标表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13022925P00JXC419421A</w:t>
            </w:r>
          </w:p>
        </w:tc>
        <w:tc>
          <w:tcPr>
            <w:tcW w:w="2835" w:type="dxa"/>
            <w:vAlign w:val="center"/>
          </w:tcPr>
          <w:p>
            <w:pPr>
              <w:pStyle w:val="11"/>
            </w:pPr>
            <w:r>
              <w:t>项目名称</w:t>
            </w:r>
          </w:p>
        </w:tc>
        <w:tc>
          <w:tcPr>
            <w:tcW w:w="6095" w:type="dxa"/>
            <w:gridSpan w:val="3"/>
            <w:vAlign w:val="center"/>
          </w:tcPr>
          <w:p>
            <w:pPr>
              <w:pStyle w:val="13"/>
            </w:pPr>
            <w:r>
              <w:t>人武、党建团妇建设、纪检、宣传经费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人武、党团妇建设，纪检宣传工作经费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1.人武、党团妇建设、纪检、宣传经费的支出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党团妇建宣传工作量</w:t>
            </w:r>
          </w:p>
        </w:tc>
        <w:tc>
          <w:tcPr>
            <w:tcW w:w="5386" w:type="dxa"/>
            <w:vAlign w:val="center"/>
          </w:tcPr>
          <w:p>
            <w:pPr>
              <w:pStyle w:val="13"/>
            </w:pPr>
            <w:r>
              <w:t>党团妇建宣传工作量</w:t>
            </w:r>
          </w:p>
        </w:tc>
        <w:tc>
          <w:tcPr>
            <w:tcW w:w="2268" w:type="dxa"/>
            <w:vAlign w:val="center"/>
          </w:tcPr>
          <w:p>
            <w:pPr>
              <w:pStyle w:val="13"/>
            </w:pPr>
            <w:r>
              <w:t>≥90百分比</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财政拨款保证率</w:t>
            </w:r>
          </w:p>
        </w:tc>
        <w:tc>
          <w:tcPr>
            <w:tcW w:w="5386" w:type="dxa"/>
            <w:vAlign w:val="center"/>
          </w:tcPr>
          <w:p>
            <w:pPr>
              <w:pStyle w:val="13"/>
            </w:pPr>
            <w:r>
              <w:t>财政拨款保证率</w:t>
            </w:r>
          </w:p>
        </w:tc>
        <w:tc>
          <w:tcPr>
            <w:tcW w:w="2268" w:type="dxa"/>
            <w:vAlign w:val="center"/>
          </w:tcPr>
          <w:p>
            <w:pPr>
              <w:pStyle w:val="13"/>
            </w:pPr>
            <w:r>
              <w:t>≥90百分比</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各项工作完成及时性</w:t>
            </w:r>
          </w:p>
        </w:tc>
        <w:tc>
          <w:tcPr>
            <w:tcW w:w="5386" w:type="dxa"/>
            <w:vAlign w:val="center"/>
          </w:tcPr>
          <w:p>
            <w:pPr>
              <w:pStyle w:val="13"/>
            </w:pPr>
            <w:r>
              <w:t>各项工作完成及时性</w:t>
            </w:r>
          </w:p>
        </w:tc>
        <w:tc>
          <w:tcPr>
            <w:tcW w:w="2268" w:type="dxa"/>
            <w:vAlign w:val="center"/>
          </w:tcPr>
          <w:p>
            <w:pPr>
              <w:pStyle w:val="13"/>
            </w:pPr>
            <w:r>
              <w:t>≥90百分比</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≥90百分比</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对周边经济环境的促进</w:t>
            </w:r>
          </w:p>
        </w:tc>
        <w:tc>
          <w:tcPr>
            <w:tcW w:w="5386" w:type="dxa"/>
            <w:vAlign w:val="center"/>
          </w:tcPr>
          <w:p>
            <w:pPr>
              <w:pStyle w:val="13"/>
            </w:pPr>
            <w:r>
              <w:t>对周边经济环境的促进</w:t>
            </w:r>
          </w:p>
        </w:tc>
        <w:tc>
          <w:tcPr>
            <w:tcW w:w="2268" w:type="dxa"/>
            <w:vAlign w:val="center"/>
          </w:tcPr>
          <w:p>
            <w:pPr>
              <w:pStyle w:val="13"/>
            </w:pPr>
            <w:r>
              <w:t>≥90百分比</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对社会稳定的影响</w:t>
            </w:r>
          </w:p>
        </w:tc>
        <w:tc>
          <w:tcPr>
            <w:tcW w:w="5386" w:type="dxa"/>
            <w:vAlign w:val="center"/>
          </w:tcPr>
          <w:p>
            <w:pPr>
              <w:pStyle w:val="13"/>
            </w:pPr>
            <w:r>
              <w:t>对社会稳定的影响</w:t>
            </w:r>
          </w:p>
        </w:tc>
        <w:tc>
          <w:tcPr>
            <w:tcW w:w="2268" w:type="dxa"/>
            <w:vAlign w:val="center"/>
          </w:tcPr>
          <w:p>
            <w:pPr>
              <w:pStyle w:val="13"/>
            </w:pPr>
            <w:r>
              <w:t>≥90百分比</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对生态环境的影响</w:t>
            </w:r>
          </w:p>
        </w:tc>
        <w:tc>
          <w:tcPr>
            <w:tcW w:w="5386" w:type="dxa"/>
            <w:vAlign w:val="center"/>
          </w:tcPr>
          <w:p>
            <w:pPr>
              <w:pStyle w:val="13"/>
            </w:pPr>
            <w:r>
              <w:t>对生态环境的影响</w:t>
            </w:r>
          </w:p>
        </w:tc>
        <w:tc>
          <w:tcPr>
            <w:tcW w:w="2268" w:type="dxa"/>
            <w:vAlign w:val="center"/>
          </w:tcPr>
          <w:p>
            <w:pPr>
              <w:pStyle w:val="13"/>
            </w:pPr>
            <w:r>
              <w:t>≥90百分比</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建立长效机制</w:t>
            </w:r>
          </w:p>
        </w:tc>
        <w:tc>
          <w:tcPr>
            <w:tcW w:w="5386" w:type="dxa"/>
            <w:vAlign w:val="center"/>
          </w:tcPr>
          <w:p>
            <w:pPr>
              <w:pStyle w:val="13"/>
            </w:pPr>
            <w:r>
              <w:t>建立长效机制</w:t>
            </w:r>
          </w:p>
        </w:tc>
        <w:tc>
          <w:tcPr>
            <w:tcW w:w="2268" w:type="dxa"/>
            <w:vAlign w:val="center"/>
          </w:tcPr>
          <w:p>
            <w:pPr>
              <w:pStyle w:val="13"/>
            </w:pPr>
            <w:r>
              <w:t>≥90百分比</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6、土地卫片整治绩效目标表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13022925P00002910007C</w:t>
            </w:r>
          </w:p>
        </w:tc>
        <w:tc>
          <w:tcPr>
            <w:tcW w:w="2835" w:type="dxa"/>
            <w:vAlign w:val="center"/>
          </w:tcPr>
          <w:p>
            <w:pPr>
              <w:pStyle w:val="11"/>
            </w:pPr>
            <w:r>
              <w:t>项目名称</w:t>
            </w:r>
          </w:p>
        </w:tc>
        <w:tc>
          <w:tcPr>
            <w:tcW w:w="6095" w:type="dxa"/>
            <w:gridSpan w:val="3"/>
            <w:vAlign w:val="center"/>
          </w:tcPr>
          <w:p>
            <w:pPr>
              <w:pStyle w:val="13"/>
            </w:pPr>
            <w:r>
              <w:t>土地卫片整治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孟立珍信访支出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1.资金拨付到位后，按情况拨付给个人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孟立丽信访数量</w:t>
            </w:r>
          </w:p>
        </w:tc>
        <w:tc>
          <w:tcPr>
            <w:tcW w:w="5386" w:type="dxa"/>
            <w:vAlign w:val="center"/>
          </w:tcPr>
          <w:p>
            <w:pPr>
              <w:pStyle w:val="13"/>
            </w:pPr>
            <w:r>
              <w:t>孟立丽信访数量</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协调信访事项化解率</w:t>
            </w:r>
          </w:p>
        </w:tc>
        <w:tc>
          <w:tcPr>
            <w:tcW w:w="5386" w:type="dxa"/>
            <w:vAlign w:val="center"/>
          </w:tcPr>
          <w:p>
            <w:pPr>
              <w:pStyle w:val="13"/>
            </w:pPr>
            <w:r>
              <w:t>协调信访事项化解率</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信访事项 平息及时</w:t>
            </w:r>
          </w:p>
        </w:tc>
        <w:tc>
          <w:tcPr>
            <w:tcW w:w="5386" w:type="dxa"/>
            <w:vAlign w:val="center"/>
          </w:tcPr>
          <w:p>
            <w:pPr>
              <w:pStyle w:val="13"/>
            </w:pPr>
            <w:r>
              <w:t>信访事项 平息及时</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涉及访事项投入成本</w:t>
            </w:r>
          </w:p>
        </w:tc>
        <w:tc>
          <w:tcPr>
            <w:tcW w:w="5386" w:type="dxa"/>
            <w:vAlign w:val="center"/>
          </w:tcPr>
          <w:p>
            <w:pPr>
              <w:pStyle w:val="13"/>
            </w:pPr>
            <w:r>
              <w:t>涉及访事项投入成本</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社会稳定情况</w:t>
            </w:r>
          </w:p>
        </w:tc>
        <w:tc>
          <w:tcPr>
            <w:tcW w:w="5386" w:type="dxa"/>
            <w:vAlign w:val="center"/>
          </w:tcPr>
          <w:p>
            <w:pPr>
              <w:pStyle w:val="13"/>
            </w:pPr>
            <w:r>
              <w:t>社会稳定情况</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推动社会稳定发展</w:t>
            </w:r>
          </w:p>
        </w:tc>
        <w:tc>
          <w:tcPr>
            <w:tcW w:w="5386" w:type="dxa"/>
            <w:vAlign w:val="center"/>
          </w:tcPr>
          <w:p>
            <w:pPr>
              <w:pStyle w:val="13"/>
            </w:pPr>
            <w:r>
              <w:t>推动社会稳定发展</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w:t>
            </w:r>
          </w:p>
        </w:tc>
        <w:tc>
          <w:tcPr>
            <w:tcW w:w="5386" w:type="dxa"/>
            <w:vAlign w:val="center"/>
          </w:tcPr>
          <w:p>
            <w:pPr>
              <w:pStyle w:val="13"/>
            </w:pPr>
            <w:r>
              <w:t>项目持续发挥作用</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县委县政府确定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7、下坎村7户过渡费绩效目标表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13022925P00JXC4199714</w:t>
            </w:r>
          </w:p>
        </w:tc>
        <w:tc>
          <w:tcPr>
            <w:tcW w:w="2835" w:type="dxa"/>
            <w:vAlign w:val="center"/>
          </w:tcPr>
          <w:p>
            <w:pPr>
              <w:pStyle w:val="11"/>
            </w:pPr>
            <w:r>
              <w:t>项目名称</w:t>
            </w:r>
          </w:p>
        </w:tc>
        <w:tc>
          <w:tcPr>
            <w:tcW w:w="6095" w:type="dxa"/>
            <w:gridSpan w:val="3"/>
            <w:vAlign w:val="center"/>
          </w:tcPr>
          <w:p>
            <w:pPr>
              <w:pStyle w:val="13"/>
            </w:pPr>
            <w:r>
              <w:t>下坎村7户过渡费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126000.00</w:t>
            </w:r>
          </w:p>
        </w:tc>
        <w:tc>
          <w:tcPr>
            <w:tcW w:w="2835" w:type="dxa"/>
            <w:vAlign w:val="center"/>
          </w:tcPr>
          <w:p>
            <w:pPr>
              <w:pStyle w:val="11"/>
            </w:pPr>
            <w:r>
              <w:t>其中：财政    资金</w:t>
            </w:r>
          </w:p>
        </w:tc>
        <w:tc>
          <w:tcPr>
            <w:tcW w:w="2551" w:type="dxa"/>
            <w:vAlign w:val="center"/>
          </w:tcPr>
          <w:p>
            <w:pPr>
              <w:pStyle w:val="13"/>
            </w:pPr>
            <w:r>
              <w:t>126000.00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2025年下坎村7户过渡费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1.2025年到期后及时拨付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过渡费涉及户数</w:t>
            </w:r>
          </w:p>
        </w:tc>
        <w:tc>
          <w:tcPr>
            <w:tcW w:w="5386" w:type="dxa"/>
            <w:vAlign w:val="center"/>
          </w:tcPr>
          <w:p>
            <w:pPr>
              <w:pStyle w:val="13"/>
            </w:pPr>
            <w:r>
              <w:t>过渡费涉及户数</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完成工作质量</w:t>
            </w:r>
          </w:p>
        </w:tc>
        <w:tc>
          <w:tcPr>
            <w:tcW w:w="5386" w:type="dxa"/>
            <w:vAlign w:val="center"/>
          </w:tcPr>
          <w:p>
            <w:pPr>
              <w:pStyle w:val="13"/>
            </w:pPr>
            <w:r>
              <w:t>完成工作质量</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工期完成时间</w:t>
            </w:r>
          </w:p>
        </w:tc>
        <w:tc>
          <w:tcPr>
            <w:tcW w:w="5386" w:type="dxa"/>
            <w:vAlign w:val="center"/>
          </w:tcPr>
          <w:p>
            <w:pPr>
              <w:pStyle w:val="13"/>
            </w:pPr>
            <w:r>
              <w:t>工期完成时间</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各项工作成本</w:t>
            </w:r>
          </w:p>
        </w:tc>
        <w:tc>
          <w:tcPr>
            <w:tcW w:w="5386" w:type="dxa"/>
            <w:vAlign w:val="center"/>
          </w:tcPr>
          <w:p>
            <w:pPr>
              <w:pStyle w:val="13"/>
            </w:pPr>
            <w:r>
              <w:t>各项工作成本</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拆迁对环境改善情况</w:t>
            </w:r>
          </w:p>
        </w:tc>
        <w:tc>
          <w:tcPr>
            <w:tcW w:w="5386" w:type="dxa"/>
            <w:vAlign w:val="center"/>
          </w:tcPr>
          <w:p>
            <w:pPr>
              <w:pStyle w:val="13"/>
            </w:pPr>
            <w:r>
              <w:t>拆迁对环境改善情况</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对社会环境的影响</w:t>
            </w:r>
          </w:p>
        </w:tc>
        <w:tc>
          <w:tcPr>
            <w:tcW w:w="5386" w:type="dxa"/>
            <w:vAlign w:val="center"/>
          </w:tcPr>
          <w:p>
            <w:pPr>
              <w:pStyle w:val="13"/>
            </w:pPr>
            <w:r>
              <w:t>对社会环境的影响</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建立长效机制</w:t>
            </w:r>
          </w:p>
        </w:tc>
        <w:tc>
          <w:tcPr>
            <w:tcW w:w="5386" w:type="dxa"/>
            <w:vAlign w:val="center"/>
          </w:tcPr>
          <w:p>
            <w:pPr>
              <w:pStyle w:val="13"/>
            </w:pPr>
            <w:r>
              <w:t>建立长效机制</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县委县政府确定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8、乡镇人大工作站经费绩效目标表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13022925P00JXC419419B</w:t>
            </w:r>
          </w:p>
        </w:tc>
        <w:tc>
          <w:tcPr>
            <w:tcW w:w="2835" w:type="dxa"/>
            <w:vAlign w:val="center"/>
          </w:tcPr>
          <w:p>
            <w:pPr>
              <w:pStyle w:val="11"/>
            </w:pPr>
            <w:r>
              <w:t>项目名称</w:t>
            </w:r>
          </w:p>
        </w:tc>
        <w:tc>
          <w:tcPr>
            <w:tcW w:w="6095" w:type="dxa"/>
            <w:gridSpan w:val="3"/>
            <w:vAlign w:val="center"/>
          </w:tcPr>
          <w:p>
            <w:pPr>
              <w:pStyle w:val="13"/>
            </w:pPr>
            <w:r>
              <w:t>乡镇人大工作站经费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乡镇人大工作站经费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1.及时拨付人大工作站的各项支出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人大活动数量</w:t>
            </w:r>
          </w:p>
        </w:tc>
        <w:tc>
          <w:tcPr>
            <w:tcW w:w="5386" w:type="dxa"/>
            <w:vAlign w:val="center"/>
          </w:tcPr>
          <w:p>
            <w:pPr>
              <w:pStyle w:val="13"/>
            </w:pPr>
            <w:r>
              <w:t>人大活动数量</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人大会议完成率</w:t>
            </w:r>
          </w:p>
        </w:tc>
        <w:tc>
          <w:tcPr>
            <w:tcW w:w="5386" w:type="dxa"/>
            <w:vAlign w:val="center"/>
          </w:tcPr>
          <w:p>
            <w:pPr>
              <w:pStyle w:val="13"/>
            </w:pPr>
            <w:r>
              <w:t>人大会议完成率</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年内活动完成</w:t>
            </w:r>
          </w:p>
        </w:tc>
        <w:tc>
          <w:tcPr>
            <w:tcW w:w="5386" w:type="dxa"/>
            <w:vAlign w:val="center"/>
          </w:tcPr>
          <w:p>
            <w:pPr>
              <w:pStyle w:val="13"/>
            </w:pPr>
            <w:r>
              <w:t>年内活动完成</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新增经济效益</w:t>
            </w:r>
          </w:p>
        </w:tc>
        <w:tc>
          <w:tcPr>
            <w:tcW w:w="5386" w:type="dxa"/>
            <w:vAlign w:val="center"/>
          </w:tcPr>
          <w:p>
            <w:pPr>
              <w:pStyle w:val="13"/>
            </w:pPr>
            <w:r>
              <w:t>新增经济效益</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保障人大工作运转效率</w:t>
            </w:r>
          </w:p>
        </w:tc>
        <w:tc>
          <w:tcPr>
            <w:tcW w:w="5386" w:type="dxa"/>
            <w:vAlign w:val="center"/>
          </w:tcPr>
          <w:p>
            <w:pPr>
              <w:pStyle w:val="13"/>
            </w:pPr>
            <w:r>
              <w:t>保障人大工作运转效率</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建全长效机制</w:t>
            </w:r>
          </w:p>
        </w:tc>
        <w:tc>
          <w:tcPr>
            <w:tcW w:w="5386" w:type="dxa"/>
            <w:vAlign w:val="center"/>
          </w:tcPr>
          <w:p>
            <w:pPr>
              <w:pStyle w:val="13"/>
            </w:pPr>
            <w:r>
              <w:t>建全长效机制</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r>
              <w:t>县委县政府确定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9、信访维稳1绩效目标表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13022925P00002910004H</w:t>
            </w:r>
          </w:p>
        </w:tc>
        <w:tc>
          <w:tcPr>
            <w:tcW w:w="2835" w:type="dxa"/>
            <w:vAlign w:val="center"/>
          </w:tcPr>
          <w:p>
            <w:pPr>
              <w:pStyle w:val="11"/>
            </w:pPr>
            <w:r>
              <w:t>项目名称</w:t>
            </w:r>
          </w:p>
        </w:tc>
        <w:tc>
          <w:tcPr>
            <w:tcW w:w="6095" w:type="dxa"/>
            <w:gridSpan w:val="3"/>
            <w:vAlign w:val="center"/>
          </w:tcPr>
          <w:p>
            <w:pPr>
              <w:pStyle w:val="13"/>
            </w:pPr>
            <w:r>
              <w:t>信访维稳1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31200.00</w:t>
            </w:r>
          </w:p>
        </w:tc>
        <w:tc>
          <w:tcPr>
            <w:tcW w:w="2835" w:type="dxa"/>
            <w:vAlign w:val="center"/>
          </w:tcPr>
          <w:p>
            <w:pPr>
              <w:pStyle w:val="11"/>
            </w:pPr>
            <w:r>
              <w:t>其中：财政    资金</w:t>
            </w:r>
          </w:p>
        </w:tc>
        <w:tc>
          <w:tcPr>
            <w:tcW w:w="2551" w:type="dxa"/>
            <w:vAlign w:val="center"/>
          </w:tcPr>
          <w:p>
            <w:pPr>
              <w:pStyle w:val="13"/>
            </w:pPr>
            <w:r>
              <w:t>31200.00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刘洪霞信访支出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1.资金到位后，视情况拨付给个人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刘洪霞信访数量</w:t>
            </w:r>
          </w:p>
        </w:tc>
        <w:tc>
          <w:tcPr>
            <w:tcW w:w="5386" w:type="dxa"/>
            <w:vAlign w:val="center"/>
          </w:tcPr>
          <w:p>
            <w:pPr>
              <w:pStyle w:val="13"/>
            </w:pPr>
            <w:r>
              <w:t>刘洪霞信访数量</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协调信访事项化解率</w:t>
            </w:r>
          </w:p>
        </w:tc>
        <w:tc>
          <w:tcPr>
            <w:tcW w:w="5386" w:type="dxa"/>
            <w:vAlign w:val="center"/>
          </w:tcPr>
          <w:p>
            <w:pPr>
              <w:pStyle w:val="13"/>
            </w:pPr>
            <w:r>
              <w:t>协调信访事项化解率</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信访事项平息及时</w:t>
            </w:r>
          </w:p>
        </w:tc>
        <w:tc>
          <w:tcPr>
            <w:tcW w:w="5386" w:type="dxa"/>
            <w:vAlign w:val="center"/>
          </w:tcPr>
          <w:p>
            <w:pPr>
              <w:pStyle w:val="13"/>
            </w:pPr>
            <w:r>
              <w:t>信访事项平息及时</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涉访事项投入成本</w:t>
            </w:r>
          </w:p>
        </w:tc>
        <w:tc>
          <w:tcPr>
            <w:tcW w:w="5386" w:type="dxa"/>
            <w:vAlign w:val="center"/>
          </w:tcPr>
          <w:p>
            <w:pPr>
              <w:pStyle w:val="13"/>
            </w:pPr>
            <w:r>
              <w:t>涉访事项投入成本</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社会稳定提升情况</w:t>
            </w:r>
          </w:p>
        </w:tc>
        <w:tc>
          <w:tcPr>
            <w:tcW w:w="5386" w:type="dxa"/>
            <w:vAlign w:val="center"/>
          </w:tcPr>
          <w:p>
            <w:pPr>
              <w:pStyle w:val="13"/>
            </w:pPr>
            <w:r>
              <w:t>社会稳定提升情况</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通过实施刘洪霞信访经费促进社会稳定水平</w:t>
            </w:r>
          </w:p>
        </w:tc>
        <w:tc>
          <w:tcPr>
            <w:tcW w:w="5386" w:type="dxa"/>
            <w:vAlign w:val="center"/>
          </w:tcPr>
          <w:p>
            <w:pPr>
              <w:pStyle w:val="13"/>
            </w:pPr>
            <w:r>
              <w:t>通过实施刘洪霞信访经费促进社会稳定水平</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推动社会稳定发展</w:t>
            </w:r>
          </w:p>
        </w:tc>
        <w:tc>
          <w:tcPr>
            <w:tcW w:w="5386" w:type="dxa"/>
            <w:vAlign w:val="center"/>
          </w:tcPr>
          <w:p>
            <w:pPr>
              <w:pStyle w:val="13"/>
            </w:pPr>
            <w:r>
              <w:t>推动社会稳定发展</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w:t>
            </w:r>
          </w:p>
        </w:tc>
        <w:tc>
          <w:tcPr>
            <w:tcW w:w="5386" w:type="dxa"/>
            <w:vAlign w:val="center"/>
          </w:tcPr>
          <w:p>
            <w:pPr>
              <w:pStyle w:val="13"/>
            </w:pPr>
            <w:r>
              <w:t>项目持续发挥作用</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县委县政府确定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10、信访维稳2绩效目标表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13022925P000029100055</w:t>
            </w:r>
          </w:p>
        </w:tc>
        <w:tc>
          <w:tcPr>
            <w:tcW w:w="2835" w:type="dxa"/>
            <w:vAlign w:val="center"/>
          </w:tcPr>
          <w:p>
            <w:pPr>
              <w:pStyle w:val="11"/>
            </w:pPr>
            <w:r>
              <w:t>项目名称</w:t>
            </w:r>
          </w:p>
        </w:tc>
        <w:tc>
          <w:tcPr>
            <w:tcW w:w="6095" w:type="dxa"/>
            <w:gridSpan w:val="3"/>
            <w:vAlign w:val="center"/>
          </w:tcPr>
          <w:p>
            <w:pPr>
              <w:pStyle w:val="13"/>
            </w:pPr>
            <w:r>
              <w:t>信访维稳2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250000.00</w:t>
            </w:r>
          </w:p>
        </w:tc>
        <w:tc>
          <w:tcPr>
            <w:tcW w:w="2835" w:type="dxa"/>
            <w:vAlign w:val="center"/>
          </w:tcPr>
          <w:p>
            <w:pPr>
              <w:pStyle w:val="11"/>
            </w:pPr>
            <w:r>
              <w:t>其中：财政    资金</w:t>
            </w:r>
          </w:p>
        </w:tc>
        <w:tc>
          <w:tcPr>
            <w:tcW w:w="2551" w:type="dxa"/>
            <w:vAlign w:val="center"/>
          </w:tcPr>
          <w:p>
            <w:pPr>
              <w:pStyle w:val="13"/>
            </w:pPr>
            <w:r>
              <w:t>250000.00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营房村葛长波信访支出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1.资金到位后视情况拨付给个人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减少上访次数</w:t>
            </w:r>
          </w:p>
        </w:tc>
        <w:tc>
          <w:tcPr>
            <w:tcW w:w="5386" w:type="dxa"/>
            <w:vAlign w:val="center"/>
          </w:tcPr>
          <w:p>
            <w:pPr>
              <w:pStyle w:val="13"/>
            </w:pPr>
            <w:r>
              <w:t>减少上访次数</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化解上访事件</w:t>
            </w:r>
          </w:p>
        </w:tc>
        <w:tc>
          <w:tcPr>
            <w:tcW w:w="5386" w:type="dxa"/>
            <w:vAlign w:val="center"/>
          </w:tcPr>
          <w:p>
            <w:pPr>
              <w:pStyle w:val="13"/>
            </w:pPr>
            <w:r>
              <w:t>化解上访事件</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及时处理上访问题</w:t>
            </w:r>
          </w:p>
        </w:tc>
        <w:tc>
          <w:tcPr>
            <w:tcW w:w="5386" w:type="dxa"/>
            <w:vAlign w:val="center"/>
          </w:tcPr>
          <w:p>
            <w:pPr>
              <w:pStyle w:val="13"/>
            </w:pPr>
            <w:r>
              <w:t>及时处理上访问题</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减少大的上访事件</w:t>
            </w:r>
          </w:p>
        </w:tc>
        <w:tc>
          <w:tcPr>
            <w:tcW w:w="5386" w:type="dxa"/>
            <w:vAlign w:val="center"/>
          </w:tcPr>
          <w:p>
            <w:pPr>
              <w:pStyle w:val="13"/>
            </w:pPr>
            <w:r>
              <w:t>减少大的上访事件</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减少上访数量</w:t>
            </w:r>
          </w:p>
        </w:tc>
        <w:tc>
          <w:tcPr>
            <w:tcW w:w="5386" w:type="dxa"/>
            <w:vAlign w:val="center"/>
          </w:tcPr>
          <w:p>
            <w:pPr>
              <w:pStyle w:val="13"/>
            </w:pPr>
            <w:r>
              <w:t>减少上访数量</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平息信访事件对周边群众的影响</w:t>
            </w:r>
          </w:p>
        </w:tc>
        <w:tc>
          <w:tcPr>
            <w:tcW w:w="5386" w:type="dxa"/>
            <w:vAlign w:val="center"/>
          </w:tcPr>
          <w:p>
            <w:pPr>
              <w:pStyle w:val="13"/>
            </w:pPr>
            <w:r>
              <w:t>平息信访事件对周边群众的影响</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信访人的生活得到基本保障</w:t>
            </w:r>
          </w:p>
        </w:tc>
        <w:tc>
          <w:tcPr>
            <w:tcW w:w="5386" w:type="dxa"/>
            <w:vAlign w:val="center"/>
          </w:tcPr>
          <w:p>
            <w:pPr>
              <w:pStyle w:val="13"/>
            </w:pPr>
            <w:r>
              <w:t>信访人的生活得到基本保障</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平息事件对社会稳定的影响</w:t>
            </w:r>
          </w:p>
        </w:tc>
        <w:tc>
          <w:tcPr>
            <w:tcW w:w="5386" w:type="dxa"/>
            <w:vAlign w:val="center"/>
          </w:tcPr>
          <w:p>
            <w:pPr>
              <w:pStyle w:val="13"/>
            </w:pPr>
            <w:r>
              <w:t>平息事件对社会稳定的影响</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≥90百分比</w:t>
            </w:r>
          </w:p>
        </w:tc>
        <w:tc>
          <w:tcPr>
            <w:tcW w:w="1276" w:type="dxa"/>
            <w:vAlign w:val="center"/>
          </w:tcPr>
          <w:p>
            <w:pPr>
              <w:pStyle w:val="13"/>
            </w:pPr>
            <w:r>
              <w:t>县委县政府确定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11、信访维稳3绩效目标表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13022925P00002910006Q</w:t>
            </w:r>
          </w:p>
        </w:tc>
        <w:tc>
          <w:tcPr>
            <w:tcW w:w="2835" w:type="dxa"/>
            <w:vAlign w:val="center"/>
          </w:tcPr>
          <w:p>
            <w:pPr>
              <w:pStyle w:val="11"/>
            </w:pPr>
            <w:r>
              <w:t>项目名称</w:t>
            </w:r>
          </w:p>
        </w:tc>
        <w:tc>
          <w:tcPr>
            <w:tcW w:w="6095" w:type="dxa"/>
            <w:gridSpan w:val="3"/>
            <w:vAlign w:val="center"/>
          </w:tcPr>
          <w:p>
            <w:pPr>
              <w:pStyle w:val="13"/>
            </w:pPr>
            <w:r>
              <w:t>信访维稳3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327000.00</w:t>
            </w:r>
          </w:p>
        </w:tc>
        <w:tc>
          <w:tcPr>
            <w:tcW w:w="2835" w:type="dxa"/>
            <w:vAlign w:val="center"/>
          </w:tcPr>
          <w:p>
            <w:pPr>
              <w:pStyle w:val="11"/>
            </w:pPr>
            <w:r>
              <w:t>其中：财政    资金</w:t>
            </w:r>
          </w:p>
        </w:tc>
        <w:tc>
          <w:tcPr>
            <w:tcW w:w="2551" w:type="dxa"/>
            <w:vAlign w:val="center"/>
          </w:tcPr>
          <w:p>
            <w:pPr>
              <w:pStyle w:val="13"/>
            </w:pPr>
            <w:r>
              <w:t>327000.00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尹东红信访支出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1.资金拨付后，按时拨付给个人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尹东红信访数量</w:t>
            </w:r>
          </w:p>
        </w:tc>
        <w:tc>
          <w:tcPr>
            <w:tcW w:w="5386" w:type="dxa"/>
            <w:vAlign w:val="center"/>
          </w:tcPr>
          <w:p>
            <w:pPr>
              <w:pStyle w:val="13"/>
            </w:pPr>
            <w:r>
              <w:t>尹东红信访数量</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协调信访事项化解率</w:t>
            </w:r>
          </w:p>
        </w:tc>
        <w:tc>
          <w:tcPr>
            <w:tcW w:w="5386" w:type="dxa"/>
            <w:vAlign w:val="center"/>
          </w:tcPr>
          <w:p>
            <w:pPr>
              <w:pStyle w:val="13"/>
            </w:pPr>
            <w:r>
              <w:t>协调信访事项化解率</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信访事项 平息及时</w:t>
            </w:r>
          </w:p>
        </w:tc>
        <w:tc>
          <w:tcPr>
            <w:tcW w:w="5386" w:type="dxa"/>
            <w:vAlign w:val="center"/>
          </w:tcPr>
          <w:p>
            <w:pPr>
              <w:pStyle w:val="13"/>
            </w:pPr>
            <w:r>
              <w:t>信访事项 平息及时</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涉及访事项投入成本</w:t>
            </w:r>
          </w:p>
        </w:tc>
        <w:tc>
          <w:tcPr>
            <w:tcW w:w="5386" w:type="dxa"/>
            <w:vAlign w:val="center"/>
          </w:tcPr>
          <w:p>
            <w:pPr>
              <w:pStyle w:val="13"/>
            </w:pPr>
            <w:r>
              <w:t>涉及访事项投入成本</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社会稳定情况</w:t>
            </w:r>
          </w:p>
        </w:tc>
        <w:tc>
          <w:tcPr>
            <w:tcW w:w="5386" w:type="dxa"/>
            <w:vAlign w:val="center"/>
          </w:tcPr>
          <w:p>
            <w:pPr>
              <w:pStyle w:val="13"/>
            </w:pPr>
            <w:r>
              <w:t>社会稳定情况</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推动社会稳定发展</w:t>
            </w:r>
          </w:p>
        </w:tc>
        <w:tc>
          <w:tcPr>
            <w:tcW w:w="5386" w:type="dxa"/>
            <w:vAlign w:val="center"/>
          </w:tcPr>
          <w:p>
            <w:pPr>
              <w:pStyle w:val="13"/>
            </w:pPr>
            <w:r>
              <w:t>推动社会稳定发展</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w:t>
            </w:r>
          </w:p>
        </w:tc>
        <w:tc>
          <w:tcPr>
            <w:tcW w:w="5386" w:type="dxa"/>
            <w:vAlign w:val="center"/>
          </w:tcPr>
          <w:p>
            <w:pPr>
              <w:pStyle w:val="13"/>
            </w:pPr>
            <w:r>
              <w:t>项目持续发挥作用</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县委县政府确定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12、信访维稳4绩效目标表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13022925P00002910011J</w:t>
            </w:r>
          </w:p>
        </w:tc>
        <w:tc>
          <w:tcPr>
            <w:tcW w:w="2835" w:type="dxa"/>
            <w:vAlign w:val="center"/>
          </w:tcPr>
          <w:p>
            <w:pPr>
              <w:pStyle w:val="11"/>
            </w:pPr>
            <w:r>
              <w:t>项目名称</w:t>
            </w:r>
          </w:p>
        </w:tc>
        <w:tc>
          <w:tcPr>
            <w:tcW w:w="6095" w:type="dxa"/>
            <w:gridSpan w:val="3"/>
            <w:vAlign w:val="center"/>
          </w:tcPr>
          <w:p>
            <w:pPr>
              <w:pStyle w:val="13"/>
            </w:pPr>
            <w:r>
              <w:t>信访维稳4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700000.00</w:t>
            </w:r>
          </w:p>
        </w:tc>
        <w:tc>
          <w:tcPr>
            <w:tcW w:w="2835" w:type="dxa"/>
            <w:vAlign w:val="center"/>
          </w:tcPr>
          <w:p>
            <w:pPr>
              <w:pStyle w:val="11"/>
            </w:pPr>
            <w:r>
              <w:t>其中：财政    资金</w:t>
            </w:r>
          </w:p>
        </w:tc>
        <w:tc>
          <w:tcPr>
            <w:tcW w:w="2551" w:type="dxa"/>
            <w:vAlign w:val="center"/>
          </w:tcPr>
          <w:p>
            <w:pPr>
              <w:pStyle w:val="13"/>
            </w:pPr>
            <w:r>
              <w:t>700000.00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尹兆峰信访支出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1.资金到位后及时拨付给个人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尹兆峰信访事件数量</w:t>
            </w:r>
          </w:p>
        </w:tc>
        <w:tc>
          <w:tcPr>
            <w:tcW w:w="5386" w:type="dxa"/>
            <w:vAlign w:val="center"/>
          </w:tcPr>
          <w:p>
            <w:pPr>
              <w:pStyle w:val="13"/>
            </w:pPr>
            <w:r>
              <w:t>尹兆峰信访事件数量</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协调信访事项化解率</w:t>
            </w:r>
          </w:p>
        </w:tc>
        <w:tc>
          <w:tcPr>
            <w:tcW w:w="5386" w:type="dxa"/>
            <w:vAlign w:val="center"/>
          </w:tcPr>
          <w:p>
            <w:pPr>
              <w:pStyle w:val="13"/>
            </w:pPr>
            <w:r>
              <w:t>协调信访事项化解率</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信访事项平息及时</w:t>
            </w:r>
          </w:p>
        </w:tc>
        <w:tc>
          <w:tcPr>
            <w:tcW w:w="5386" w:type="dxa"/>
            <w:vAlign w:val="center"/>
          </w:tcPr>
          <w:p>
            <w:pPr>
              <w:pStyle w:val="13"/>
            </w:pPr>
            <w:r>
              <w:t>信访事项平息及时</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涉访事项投入成本</w:t>
            </w:r>
          </w:p>
        </w:tc>
        <w:tc>
          <w:tcPr>
            <w:tcW w:w="5386" w:type="dxa"/>
            <w:vAlign w:val="center"/>
          </w:tcPr>
          <w:p>
            <w:pPr>
              <w:pStyle w:val="13"/>
            </w:pPr>
            <w:r>
              <w:t>涉访事项投入成本</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社会稳定提升情况</w:t>
            </w:r>
          </w:p>
        </w:tc>
        <w:tc>
          <w:tcPr>
            <w:tcW w:w="5386" w:type="dxa"/>
            <w:vAlign w:val="center"/>
          </w:tcPr>
          <w:p>
            <w:pPr>
              <w:pStyle w:val="13"/>
            </w:pPr>
            <w:r>
              <w:t>社会稳定提升情况</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推动社会稳定发展</w:t>
            </w:r>
          </w:p>
        </w:tc>
        <w:tc>
          <w:tcPr>
            <w:tcW w:w="5386" w:type="dxa"/>
            <w:vAlign w:val="center"/>
          </w:tcPr>
          <w:p>
            <w:pPr>
              <w:pStyle w:val="13"/>
            </w:pPr>
            <w:r>
              <w:t>推动社会稳定发展</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w:t>
            </w:r>
          </w:p>
        </w:tc>
        <w:tc>
          <w:tcPr>
            <w:tcW w:w="5386" w:type="dxa"/>
            <w:vAlign w:val="center"/>
          </w:tcPr>
          <w:p>
            <w:pPr>
              <w:pStyle w:val="13"/>
            </w:pPr>
            <w:r>
              <w:t>项目持续发挥作用</w:t>
            </w:r>
          </w:p>
        </w:tc>
        <w:tc>
          <w:tcPr>
            <w:tcW w:w="2268" w:type="dxa"/>
            <w:vAlign w:val="center"/>
          </w:tcPr>
          <w:p>
            <w:pPr>
              <w:pStyle w:val="13"/>
            </w:pPr>
            <w:r>
              <w:t>≥90百分比</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县委县政府确定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13、信访维稳5绩效目标表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13022925P000029100080</w:t>
            </w:r>
          </w:p>
        </w:tc>
        <w:tc>
          <w:tcPr>
            <w:tcW w:w="2835" w:type="dxa"/>
            <w:vAlign w:val="center"/>
          </w:tcPr>
          <w:p>
            <w:pPr>
              <w:pStyle w:val="11"/>
            </w:pPr>
            <w:r>
              <w:t>项目名称</w:t>
            </w:r>
          </w:p>
        </w:tc>
        <w:tc>
          <w:tcPr>
            <w:tcW w:w="6095" w:type="dxa"/>
            <w:gridSpan w:val="3"/>
            <w:vAlign w:val="center"/>
          </w:tcPr>
          <w:p>
            <w:pPr>
              <w:pStyle w:val="13"/>
            </w:pPr>
            <w:r>
              <w:t>信访维稳5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2978500.00</w:t>
            </w:r>
          </w:p>
        </w:tc>
        <w:tc>
          <w:tcPr>
            <w:tcW w:w="2835" w:type="dxa"/>
            <w:vAlign w:val="center"/>
          </w:tcPr>
          <w:p>
            <w:pPr>
              <w:pStyle w:val="11"/>
            </w:pPr>
            <w:r>
              <w:t>其中：财政    资金</w:t>
            </w:r>
          </w:p>
        </w:tc>
        <w:tc>
          <w:tcPr>
            <w:tcW w:w="2551" w:type="dxa"/>
            <w:vAlign w:val="center"/>
          </w:tcPr>
          <w:p>
            <w:pPr>
              <w:pStyle w:val="13"/>
            </w:pPr>
            <w:r>
              <w:t>2978500.00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洪潮铸造征收相关支出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1.资金到位后，视情况拨付给个人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铸造厂涉及征收面积</w:t>
            </w:r>
          </w:p>
        </w:tc>
        <w:tc>
          <w:tcPr>
            <w:tcW w:w="5386" w:type="dxa"/>
            <w:vAlign w:val="center"/>
          </w:tcPr>
          <w:p>
            <w:pPr>
              <w:pStyle w:val="13"/>
            </w:pPr>
            <w:r>
              <w:t>铸造厂涉及征收面积</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涉及相关征收费用</w:t>
            </w:r>
          </w:p>
        </w:tc>
        <w:tc>
          <w:tcPr>
            <w:tcW w:w="5386" w:type="dxa"/>
            <w:vAlign w:val="center"/>
          </w:tcPr>
          <w:p>
            <w:pPr>
              <w:pStyle w:val="13"/>
            </w:pPr>
            <w:r>
              <w:t>涉及相关征收费用</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及时完成征收任务</w:t>
            </w:r>
          </w:p>
        </w:tc>
        <w:tc>
          <w:tcPr>
            <w:tcW w:w="5386" w:type="dxa"/>
            <w:vAlign w:val="center"/>
          </w:tcPr>
          <w:p>
            <w:pPr>
              <w:pStyle w:val="13"/>
            </w:pPr>
            <w:r>
              <w:t>及时完成征收任务</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征收总成本</w:t>
            </w:r>
          </w:p>
        </w:tc>
        <w:tc>
          <w:tcPr>
            <w:tcW w:w="5386" w:type="dxa"/>
            <w:vAlign w:val="center"/>
          </w:tcPr>
          <w:p>
            <w:pPr>
              <w:pStyle w:val="13"/>
            </w:pPr>
            <w:r>
              <w:t>征收总成本</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征收后对周边经经济环境的影响</w:t>
            </w:r>
          </w:p>
        </w:tc>
        <w:tc>
          <w:tcPr>
            <w:tcW w:w="5386" w:type="dxa"/>
            <w:vAlign w:val="center"/>
          </w:tcPr>
          <w:p>
            <w:pPr>
              <w:pStyle w:val="13"/>
            </w:pPr>
            <w:r>
              <w:t>征收后对周边经经济环境的影响</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征收后对社会稳定的影响</w:t>
            </w:r>
          </w:p>
        </w:tc>
        <w:tc>
          <w:tcPr>
            <w:tcW w:w="5386" w:type="dxa"/>
            <w:vAlign w:val="center"/>
          </w:tcPr>
          <w:p>
            <w:pPr>
              <w:pStyle w:val="13"/>
            </w:pPr>
            <w:r>
              <w:t>征收后对社会稳定的影响</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征收后对生态环境的影响</w:t>
            </w:r>
          </w:p>
        </w:tc>
        <w:tc>
          <w:tcPr>
            <w:tcW w:w="5386" w:type="dxa"/>
            <w:vAlign w:val="center"/>
          </w:tcPr>
          <w:p>
            <w:pPr>
              <w:pStyle w:val="13"/>
            </w:pPr>
            <w:r>
              <w:t>征收后对生态环境的影响</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建立长效机制</w:t>
            </w:r>
          </w:p>
        </w:tc>
        <w:tc>
          <w:tcPr>
            <w:tcW w:w="5386" w:type="dxa"/>
            <w:vAlign w:val="center"/>
          </w:tcPr>
          <w:p>
            <w:pPr>
              <w:pStyle w:val="13"/>
            </w:pPr>
            <w:r>
              <w:t>建立长效机制</w:t>
            </w:r>
          </w:p>
        </w:tc>
        <w:tc>
          <w:tcPr>
            <w:tcW w:w="2268" w:type="dxa"/>
            <w:vAlign w:val="center"/>
          </w:tcPr>
          <w:p>
            <w:pPr>
              <w:pStyle w:val="13"/>
            </w:pPr>
            <w:r>
              <w:t>≥90百分比</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年初预算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p>
      <w:pPr>
        <w:spacing w:before="0" w:after="0" w:line="240" w:lineRule="auto"/>
        <w:ind w:firstLine="0"/>
        <w:jc w:val="left"/>
        <w:outlineLvl w:val="9"/>
        <w:rPr>
          <w:rFonts w:hint="default" w:ascii="方正小标宋_GBK" w:hAnsi="方正小标宋_GBK" w:eastAsia="方正小标宋_GBK" w:cs="方正小标宋_GBK"/>
          <w:color w:val="000000"/>
          <w:sz w:val="28"/>
          <w:szCs w:val="28"/>
          <w:lang w:val="en-US" w:eastAsia="zh-CN"/>
        </w:rPr>
      </w:pPr>
      <w:r>
        <w:rPr>
          <w:rFonts w:hint="eastAsia" w:ascii="方正小标宋_GBK" w:hAnsi="方正小标宋_GBK" w:eastAsia="方正小标宋_GBK" w:cs="方正小标宋_GBK"/>
          <w:color w:val="000000"/>
          <w:sz w:val="28"/>
          <w:szCs w:val="28"/>
          <w:lang w:val="en-US" w:eastAsia="zh-CN"/>
        </w:rPr>
        <w:t>2025 年，玉田县玉田镇人民政府安排政府采购预算46000元。具体内容见下表：</w:t>
      </w:r>
      <w:bookmarkStart w:id="20" w:name="_GoBack"/>
      <w:bookmarkEnd w:id="2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479玉田县玉田镇人民政府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rPr>
                <w:rFonts w:hint="eastAsia" w:eastAsia="方正书宋_GBK"/>
                <w:lang w:eastAsia="zh-CN"/>
              </w:rPr>
            </w:pPr>
            <w:r>
              <w:rPr>
                <w:rFonts w:hint="eastAsia"/>
                <w:lang w:eastAsia="zh-CN"/>
              </w:rPr>
              <w:t>公务用车运行维护费</w:t>
            </w:r>
          </w:p>
        </w:tc>
        <w:tc>
          <w:tcPr>
            <w:tcW w:w="964" w:type="dxa"/>
            <w:vAlign w:val="center"/>
          </w:tcPr>
          <w:p>
            <w:pPr>
              <w:pStyle w:val="12"/>
              <w:rPr>
                <w:rFonts w:hint="default" w:eastAsia="方正书宋_GBK"/>
                <w:lang w:val="en-US" w:eastAsia="zh-CN"/>
              </w:rPr>
            </w:pPr>
            <w:r>
              <w:rPr>
                <w:rFonts w:hint="eastAsia"/>
                <w:lang w:val="en-US" w:eastAsia="zh-CN"/>
              </w:rPr>
              <w:t>46000</w:t>
            </w:r>
          </w:p>
        </w:tc>
        <w:tc>
          <w:tcPr>
            <w:tcW w:w="1134" w:type="dxa"/>
            <w:vAlign w:val="center"/>
          </w:tcPr>
          <w:p>
            <w:pPr>
              <w:pStyle w:val="13"/>
            </w:pPr>
          </w:p>
        </w:tc>
        <w:tc>
          <w:tcPr>
            <w:tcW w:w="1134" w:type="dxa"/>
            <w:vAlign w:val="center"/>
          </w:tcPr>
          <w:p>
            <w:pPr>
              <w:pStyle w:val="13"/>
            </w:pPr>
          </w:p>
        </w:tc>
        <w:tc>
          <w:tcPr>
            <w:tcW w:w="709" w:type="dxa"/>
            <w:vAlign w:val="center"/>
          </w:tcPr>
          <w:p>
            <w:pPr>
              <w:pStyle w:val="14"/>
              <w:rPr>
                <w:rFonts w:hint="eastAsia" w:eastAsia="方正书宋_GBK"/>
                <w:lang w:eastAsia="zh-CN"/>
              </w:rPr>
            </w:pPr>
            <w:r>
              <w:rPr>
                <w:rFonts w:hint="eastAsia"/>
                <w:lang w:eastAsia="zh-CN"/>
              </w:rPr>
              <w:t>元</w:t>
            </w:r>
          </w:p>
        </w:tc>
        <w:tc>
          <w:tcPr>
            <w:tcW w:w="850" w:type="dxa"/>
            <w:vAlign w:val="center"/>
          </w:tcPr>
          <w:p>
            <w:pPr>
              <w:pStyle w:val="12"/>
              <w:rPr>
                <w:rFonts w:hint="eastAsia" w:eastAsia="方正书宋_GBK"/>
                <w:lang w:val="en-US" w:eastAsia="zh-CN"/>
              </w:rPr>
            </w:pPr>
            <w:r>
              <w:rPr>
                <w:rFonts w:hint="eastAsia"/>
                <w:lang w:val="en-US" w:eastAsia="zh-CN"/>
              </w:rPr>
              <w:t>1</w:t>
            </w:r>
          </w:p>
        </w:tc>
        <w:tc>
          <w:tcPr>
            <w:tcW w:w="850" w:type="dxa"/>
            <w:vAlign w:val="center"/>
          </w:tcPr>
          <w:p>
            <w:pPr>
              <w:pStyle w:val="12"/>
              <w:rPr>
                <w:rFonts w:hint="default" w:eastAsia="方正书宋_GBK"/>
                <w:lang w:val="en-US" w:eastAsia="zh-CN"/>
              </w:rPr>
            </w:pPr>
            <w:r>
              <w:rPr>
                <w:rFonts w:hint="eastAsia"/>
                <w:lang w:val="en-US" w:eastAsia="zh-CN"/>
              </w:rPr>
              <w:t>46000</w:t>
            </w:r>
          </w:p>
        </w:tc>
        <w:tc>
          <w:tcPr>
            <w:tcW w:w="964" w:type="dxa"/>
            <w:vAlign w:val="center"/>
          </w:tcPr>
          <w:p>
            <w:pPr>
              <w:pStyle w:val="12"/>
              <w:rPr>
                <w:rFonts w:hint="eastAsia" w:eastAsia="方正书宋_GBK"/>
                <w:lang w:val="en-US" w:eastAsia="zh-CN"/>
              </w:rPr>
            </w:pPr>
            <w:r>
              <w:rPr>
                <w:rFonts w:hint="eastAsia"/>
                <w:lang w:val="en-US" w:eastAsia="zh-CN"/>
              </w:rPr>
              <w:t>1</w:t>
            </w:r>
          </w:p>
        </w:tc>
        <w:tc>
          <w:tcPr>
            <w:tcW w:w="964" w:type="dxa"/>
            <w:vAlign w:val="center"/>
          </w:tcPr>
          <w:p>
            <w:pPr>
              <w:pStyle w:val="12"/>
              <w:rPr>
                <w:rFonts w:hint="default" w:eastAsia="方正书宋_GBK"/>
                <w:lang w:val="en-US" w:eastAsia="zh-CN"/>
              </w:rPr>
            </w:pPr>
            <w:r>
              <w:rPr>
                <w:rFonts w:hint="eastAsia"/>
                <w:lang w:val="en-US" w:eastAsia="zh-CN"/>
              </w:rPr>
              <w:t>46000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玉田县玉田镇人民政府（含所属单位）上年末固定资产金额为1694772.87元（详见下表）。本年度拟购置固定资产总额为30000.00元，已按要求列入政府采购预算，详见政府采购预算表。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479玉田县玉田镇人民政府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1694772.87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3027</w:t>
            </w:r>
          </w:p>
        </w:tc>
        <w:tc>
          <w:tcPr>
            <w:tcW w:w="2835" w:type="dxa"/>
            <w:vAlign w:val="center"/>
          </w:tcPr>
          <w:p>
            <w:pPr>
              <w:pStyle w:val="12"/>
            </w:pPr>
            <w:r>
              <w:t>1456972.87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3027</w:t>
            </w:r>
          </w:p>
        </w:tc>
        <w:tc>
          <w:tcPr>
            <w:tcW w:w="2835" w:type="dxa"/>
            <w:vAlign w:val="center"/>
          </w:tcPr>
          <w:p>
            <w:pPr>
              <w:pStyle w:val="12"/>
            </w:pPr>
            <w:r>
              <w:t>1456792.87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237800.00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73AE4"/>
    <w:rsid w:val="03D020E5"/>
    <w:rsid w:val="2FDF7BBC"/>
    <w:rsid w:val="3EF646B1"/>
    <w:rsid w:val="481E1F8B"/>
    <w:rsid w:val="52571E3F"/>
    <w:rsid w:val="66546D5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43</Pages>
  <TotalTime>18</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2025-01-20T18:13:00Z</dcterms:created>
  <dc:creator>Administrator</dc:creator>
  <cp:lastModifiedBy>曲成</cp:lastModifiedBy>
  <dcterms:modified xsi:type="dcterms:W3CDTF">2025-01-23T07:10:46Z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E757AF030A3441B78FD701FF4B590362</vt:lpwstr>
  </property>
</Properties>
</file>