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一、玉田县玉田镇人民政府本级收支预算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一、玉田县玉田镇人民政府本级收支预算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32289816.32</w:t>
            </w:r>
          </w:p>
        </w:tc>
        <w:tc>
          <w:tcPr>
            <w:tcW w:w="4535" w:type="dxa"/>
            <w:vAlign w:val="center"/>
          </w:tcPr>
          <w:p>
            <w:pPr>
              <w:pStyle w:val="12"/>
            </w:pPr>
            <w:r>
              <w:t>一、一般公共服务支出</w:t>
            </w:r>
          </w:p>
        </w:tc>
        <w:tc>
          <w:tcPr>
            <w:tcW w:w="2126" w:type="dxa"/>
            <w:vAlign w:val="center"/>
          </w:tcPr>
          <w:p>
            <w:pPr>
              <w:pStyle w:val="11"/>
            </w:pPr>
            <w:r>
              <w:t>27415074.32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32289816.32</w:t>
            </w:r>
          </w:p>
        </w:tc>
        <w:tc>
          <w:tcPr>
            <w:tcW w:w="4535" w:type="dxa"/>
            <w:vAlign w:val="center"/>
          </w:tcPr>
          <w:p>
            <w:pPr>
              <w:pStyle w:val="14"/>
            </w:pPr>
            <w:r>
              <w:t>本年支出合计</w:t>
            </w:r>
          </w:p>
        </w:tc>
        <w:tc>
          <w:tcPr>
            <w:tcW w:w="2126" w:type="dxa"/>
            <w:vAlign w:val="center"/>
          </w:tcPr>
          <w:p>
            <w:pPr>
              <w:pStyle w:val="15"/>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32289816.32</w:t>
            </w:r>
          </w:p>
        </w:tc>
        <w:tc>
          <w:tcPr>
            <w:tcW w:w="4535" w:type="dxa"/>
            <w:vAlign w:val="center"/>
          </w:tcPr>
          <w:p>
            <w:pPr>
              <w:pStyle w:val="14"/>
            </w:pPr>
            <w:r>
              <w:t>支出总计</w:t>
            </w:r>
          </w:p>
        </w:tc>
        <w:tc>
          <w:tcPr>
            <w:tcW w:w="2126" w:type="dxa"/>
            <w:vAlign w:val="center"/>
          </w:tcPr>
          <w:p>
            <w:pPr>
              <w:pStyle w:val="15"/>
            </w:pPr>
            <w:r>
              <w:t>32289816.32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32289816.32</w:t>
            </w:r>
          </w:p>
        </w:tc>
        <w:tc>
          <w:tcPr>
            <w:tcW w:w="1134" w:type="dxa"/>
            <w:vAlign w:val="center"/>
          </w:tcPr>
          <w:p>
            <w:pPr>
              <w:pStyle w:val="15"/>
            </w:pPr>
            <w:r>
              <w:t>32289816.32</w:t>
            </w:r>
          </w:p>
        </w:tc>
        <w:tc>
          <w:tcPr>
            <w:tcW w:w="1134" w:type="dxa"/>
            <w:vAlign w:val="center"/>
          </w:tcPr>
          <w:p>
            <w:pPr>
              <w:pStyle w:val="15"/>
            </w:pPr>
            <w:r>
              <w:t>32289816.32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27415074.32</w:t>
            </w:r>
          </w:p>
        </w:tc>
        <w:tc>
          <w:tcPr>
            <w:tcW w:w="1134" w:type="dxa"/>
            <w:vAlign w:val="center"/>
          </w:tcPr>
          <w:p>
            <w:pPr>
              <w:pStyle w:val="11"/>
            </w:pPr>
            <w:r>
              <w:t>27415074.32</w:t>
            </w:r>
          </w:p>
        </w:tc>
        <w:tc>
          <w:tcPr>
            <w:tcW w:w="1134" w:type="dxa"/>
            <w:vAlign w:val="center"/>
          </w:tcPr>
          <w:p>
            <w:pPr>
              <w:pStyle w:val="11"/>
            </w:pPr>
            <w:r>
              <w:t>27415074.32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23108374.32</w:t>
            </w:r>
          </w:p>
        </w:tc>
        <w:tc>
          <w:tcPr>
            <w:tcW w:w="1134" w:type="dxa"/>
            <w:vAlign w:val="center"/>
          </w:tcPr>
          <w:p>
            <w:pPr>
              <w:pStyle w:val="11"/>
            </w:pPr>
            <w:r>
              <w:t>23108374.32</w:t>
            </w:r>
          </w:p>
        </w:tc>
        <w:tc>
          <w:tcPr>
            <w:tcW w:w="1134" w:type="dxa"/>
            <w:vAlign w:val="center"/>
          </w:tcPr>
          <w:p>
            <w:pPr>
              <w:pStyle w:val="11"/>
            </w:pPr>
            <w:r>
              <w:t>23108374.32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23108374.32</w:t>
            </w:r>
          </w:p>
        </w:tc>
        <w:tc>
          <w:tcPr>
            <w:tcW w:w="1134" w:type="dxa"/>
            <w:vAlign w:val="center"/>
          </w:tcPr>
          <w:p>
            <w:pPr>
              <w:pStyle w:val="11"/>
            </w:pPr>
            <w:r>
              <w:t>23108374.32</w:t>
            </w:r>
          </w:p>
        </w:tc>
        <w:tc>
          <w:tcPr>
            <w:tcW w:w="1134" w:type="dxa"/>
            <w:vAlign w:val="center"/>
          </w:tcPr>
          <w:p>
            <w:pPr>
              <w:pStyle w:val="11"/>
            </w:pPr>
            <w:r>
              <w:t>23108374.32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4286700.00</w:t>
            </w:r>
          </w:p>
        </w:tc>
        <w:tc>
          <w:tcPr>
            <w:tcW w:w="1134" w:type="dxa"/>
            <w:vAlign w:val="center"/>
          </w:tcPr>
          <w:p>
            <w:pPr>
              <w:pStyle w:val="11"/>
            </w:pPr>
            <w:r>
              <w:t>4286700.00</w:t>
            </w:r>
          </w:p>
        </w:tc>
        <w:tc>
          <w:tcPr>
            <w:tcW w:w="1134" w:type="dxa"/>
            <w:vAlign w:val="center"/>
          </w:tcPr>
          <w:p>
            <w:pPr>
              <w:pStyle w:val="11"/>
            </w:pPr>
            <w:r>
              <w:t>4286700.00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2014099</w:t>
            </w:r>
          </w:p>
        </w:tc>
        <w:tc>
          <w:tcPr>
            <w:tcW w:w="1559" w:type="dxa"/>
            <w:vAlign w:val="center"/>
          </w:tcPr>
          <w:p>
            <w:pPr>
              <w:pStyle w:val="12"/>
            </w:pPr>
            <w:r>
              <w:t>其他信访事务支出</w:t>
            </w:r>
          </w:p>
        </w:tc>
        <w:tc>
          <w:tcPr>
            <w:tcW w:w="1134" w:type="dxa"/>
            <w:vAlign w:val="center"/>
          </w:tcPr>
          <w:p>
            <w:pPr>
              <w:pStyle w:val="11"/>
            </w:pPr>
            <w:r>
              <w:t>4286700.00</w:t>
            </w:r>
          </w:p>
        </w:tc>
        <w:tc>
          <w:tcPr>
            <w:tcW w:w="1134" w:type="dxa"/>
            <w:vAlign w:val="center"/>
          </w:tcPr>
          <w:p>
            <w:pPr>
              <w:pStyle w:val="11"/>
            </w:pPr>
            <w:r>
              <w:t>4286700.00</w:t>
            </w:r>
          </w:p>
        </w:tc>
        <w:tc>
          <w:tcPr>
            <w:tcW w:w="1134" w:type="dxa"/>
            <w:vAlign w:val="center"/>
          </w:tcPr>
          <w:p>
            <w:pPr>
              <w:pStyle w:val="11"/>
            </w:pPr>
            <w:r>
              <w:t>4286700.00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r>
              <w:t>161000.00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r>
              <w:t>4587742.00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r>
              <w:t>126000.00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32289816.32</w:t>
            </w:r>
          </w:p>
        </w:tc>
        <w:tc>
          <w:tcPr>
            <w:tcW w:w="1361" w:type="dxa"/>
            <w:vAlign w:val="center"/>
          </w:tcPr>
          <w:p>
            <w:pPr>
              <w:pStyle w:val="15"/>
            </w:pPr>
            <w:r>
              <w:t>23038374.32</w:t>
            </w:r>
          </w:p>
        </w:tc>
        <w:tc>
          <w:tcPr>
            <w:tcW w:w="1361" w:type="dxa"/>
            <w:vAlign w:val="center"/>
          </w:tcPr>
          <w:p>
            <w:pPr>
              <w:pStyle w:val="15"/>
            </w:pPr>
            <w:r>
              <w:t>9251442.00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27415074.32</w:t>
            </w:r>
          </w:p>
        </w:tc>
        <w:tc>
          <w:tcPr>
            <w:tcW w:w="1361" w:type="dxa"/>
            <w:vAlign w:val="center"/>
          </w:tcPr>
          <w:p>
            <w:pPr>
              <w:pStyle w:val="11"/>
            </w:pPr>
            <w:r>
              <w:t>23038374.32</w:t>
            </w:r>
          </w:p>
        </w:tc>
        <w:tc>
          <w:tcPr>
            <w:tcW w:w="1361" w:type="dxa"/>
            <w:vAlign w:val="center"/>
          </w:tcPr>
          <w:p>
            <w:pPr>
              <w:pStyle w:val="11"/>
            </w:pPr>
            <w:r>
              <w:t>4376700.00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23108374.32</w:t>
            </w:r>
          </w:p>
        </w:tc>
        <w:tc>
          <w:tcPr>
            <w:tcW w:w="1361" w:type="dxa"/>
            <w:vAlign w:val="center"/>
          </w:tcPr>
          <w:p>
            <w:pPr>
              <w:pStyle w:val="11"/>
            </w:pPr>
            <w:r>
              <w:t>23038374.32</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23108374.32</w:t>
            </w:r>
          </w:p>
        </w:tc>
        <w:tc>
          <w:tcPr>
            <w:tcW w:w="1361" w:type="dxa"/>
            <w:vAlign w:val="center"/>
          </w:tcPr>
          <w:p>
            <w:pPr>
              <w:pStyle w:val="11"/>
            </w:pPr>
            <w:r>
              <w:t>23038374.32</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4286700.00</w:t>
            </w:r>
          </w:p>
        </w:tc>
        <w:tc>
          <w:tcPr>
            <w:tcW w:w="1361" w:type="dxa"/>
            <w:vAlign w:val="center"/>
          </w:tcPr>
          <w:p>
            <w:pPr>
              <w:pStyle w:val="11"/>
            </w:pPr>
          </w:p>
        </w:tc>
        <w:tc>
          <w:tcPr>
            <w:tcW w:w="1361" w:type="dxa"/>
            <w:vAlign w:val="center"/>
          </w:tcPr>
          <w:p>
            <w:pPr>
              <w:pStyle w:val="11"/>
            </w:pPr>
            <w:r>
              <w:t>4286700.00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2014099</w:t>
            </w:r>
          </w:p>
        </w:tc>
        <w:tc>
          <w:tcPr>
            <w:tcW w:w="4535" w:type="dxa"/>
            <w:vAlign w:val="center"/>
          </w:tcPr>
          <w:p>
            <w:pPr>
              <w:pStyle w:val="12"/>
            </w:pPr>
            <w:r>
              <w:t>其他信访事务支出</w:t>
            </w:r>
          </w:p>
        </w:tc>
        <w:tc>
          <w:tcPr>
            <w:tcW w:w="1361" w:type="dxa"/>
            <w:vAlign w:val="center"/>
          </w:tcPr>
          <w:p>
            <w:pPr>
              <w:pStyle w:val="11"/>
            </w:pPr>
            <w:r>
              <w:t>4286700.00</w:t>
            </w:r>
          </w:p>
        </w:tc>
        <w:tc>
          <w:tcPr>
            <w:tcW w:w="1361" w:type="dxa"/>
            <w:vAlign w:val="center"/>
          </w:tcPr>
          <w:p>
            <w:pPr>
              <w:pStyle w:val="11"/>
            </w:pPr>
          </w:p>
        </w:tc>
        <w:tc>
          <w:tcPr>
            <w:tcW w:w="1361" w:type="dxa"/>
            <w:vAlign w:val="center"/>
          </w:tcPr>
          <w:p>
            <w:pPr>
              <w:pStyle w:val="11"/>
            </w:pPr>
            <w:r>
              <w:t>4286700.00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r>
              <w:t>161000.00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r>
              <w:t>4587742.00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r>
              <w:t>126000.00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32289816.32</w:t>
            </w:r>
          </w:p>
        </w:tc>
        <w:tc>
          <w:tcPr>
            <w:tcW w:w="3402" w:type="dxa"/>
            <w:vAlign w:val="center"/>
          </w:tcPr>
          <w:p>
            <w:pPr>
              <w:pStyle w:val="12"/>
            </w:pPr>
            <w:r>
              <w:t>一、一般公共服务支出</w:t>
            </w:r>
          </w:p>
        </w:tc>
        <w:tc>
          <w:tcPr>
            <w:tcW w:w="1474" w:type="dxa"/>
            <w:vAlign w:val="center"/>
          </w:tcPr>
          <w:p>
            <w:pPr>
              <w:pStyle w:val="11"/>
            </w:pPr>
            <w:r>
              <w:t>27415074.32</w:t>
            </w:r>
          </w:p>
        </w:tc>
        <w:tc>
          <w:tcPr>
            <w:tcW w:w="1474" w:type="dxa"/>
            <w:vAlign w:val="center"/>
          </w:tcPr>
          <w:p>
            <w:pPr>
              <w:pStyle w:val="11"/>
            </w:pPr>
            <w:r>
              <w:t>27415074.32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161000.00</w:t>
            </w:r>
          </w:p>
        </w:tc>
        <w:tc>
          <w:tcPr>
            <w:tcW w:w="1474" w:type="dxa"/>
            <w:vAlign w:val="center"/>
          </w:tcPr>
          <w:p>
            <w:pPr>
              <w:pStyle w:val="11"/>
            </w:pPr>
            <w:r>
              <w:t>161000.00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4587742.00</w:t>
            </w:r>
          </w:p>
        </w:tc>
        <w:tc>
          <w:tcPr>
            <w:tcW w:w="1474" w:type="dxa"/>
            <w:vAlign w:val="center"/>
          </w:tcPr>
          <w:p>
            <w:pPr>
              <w:pStyle w:val="11"/>
            </w:pPr>
            <w:r>
              <w:t>4587742.00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126000.00</w:t>
            </w:r>
          </w:p>
        </w:tc>
        <w:tc>
          <w:tcPr>
            <w:tcW w:w="1474" w:type="dxa"/>
            <w:vAlign w:val="center"/>
          </w:tcPr>
          <w:p>
            <w:pPr>
              <w:pStyle w:val="11"/>
            </w:pPr>
            <w:r>
              <w:t>126000.00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32289816.32</w:t>
            </w:r>
          </w:p>
        </w:tc>
        <w:tc>
          <w:tcPr>
            <w:tcW w:w="3402" w:type="dxa"/>
            <w:vAlign w:val="center"/>
          </w:tcPr>
          <w:p>
            <w:pPr>
              <w:pStyle w:val="14"/>
            </w:pPr>
            <w:r>
              <w:t>本年支出合计</w:t>
            </w:r>
          </w:p>
        </w:tc>
        <w:tc>
          <w:tcPr>
            <w:tcW w:w="1474" w:type="dxa"/>
            <w:vAlign w:val="center"/>
          </w:tcPr>
          <w:p>
            <w:pPr>
              <w:pStyle w:val="15"/>
            </w:pPr>
            <w:r>
              <w:t>32289816.32</w:t>
            </w:r>
          </w:p>
        </w:tc>
        <w:tc>
          <w:tcPr>
            <w:tcW w:w="1474" w:type="dxa"/>
            <w:vAlign w:val="center"/>
          </w:tcPr>
          <w:p>
            <w:pPr>
              <w:pStyle w:val="15"/>
            </w:pPr>
            <w:r>
              <w:t>32289816.32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32289816.32</w:t>
            </w:r>
          </w:p>
        </w:tc>
        <w:tc>
          <w:tcPr>
            <w:tcW w:w="3402" w:type="dxa"/>
            <w:vAlign w:val="center"/>
          </w:tcPr>
          <w:p>
            <w:pPr>
              <w:pStyle w:val="14"/>
            </w:pPr>
            <w:r>
              <w:t>支出总计</w:t>
            </w:r>
          </w:p>
        </w:tc>
        <w:tc>
          <w:tcPr>
            <w:tcW w:w="1474" w:type="dxa"/>
            <w:vAlign w:val="center"/>
          </w:tcPr>
          <w:p>
            <w:pPr>
              <w:pStyle w:val="15"/>
            </w:pPr>
            <w:r>
              <w:t>32289816.32</w:t>
            </w:r>
          </w:p>
        </w:tc>
        <w:tc>
          <w:tcPr>
            <w:tcW w:w="1474" w:type="dxa"/>
            <w:vAlign w:val="center"/>
          </w:tcPr>
          <w:p>
            <w:pPr>
              <w:pStyle w:val="15"/>
            </w:pPr>
            <w:r>
              <w:t>32289816.32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32289816.32</w:t>
            </w:r>
          </w:p>
        </w:tc>
        <w:tc>
          <w:tcPr>
            <w:tcW w:w="2551" w:type="dxa"/>
            <w:vAlign w:val="center"/>
          </w:tcPr>
          <w:p>
            <w:pPr>
              <w:pStyle w:val="15"/>
            </w:pPr>
            <w:r>
              <w:t>23038374.32</w:t>
            </w:r>
          </w:p>
        </w:tc>
        <w:tc>
          <w:tcPr>
            <w:tcW w:w="2551" w:type="dxa"/>
            <w:vAlign w:val="center"/>
          </w:tcPr>
          <w:p>
            <w:pPr>
              <w:pStyle w:val="15"/>
            </w:pPr>
            <w:r>
              <w:t>9251442.00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27415074.32</w:t>
            </w:r>
          </w:p>
        </w:tc>
        <w:tc>
          <w:tcPr>
            <w:tcW w:w="2551" w:type="dxa"/>
            <w:vAlign w:val="center"/>
          </w:tcPr>
          <w:p>
            <w:pPr>
              <w:pStyle w:val="11"/>
            </w:pPr>
            <w:r>
              <w:t>23038374.32</w:t>
            </w:r>
          </w:p>
        </w:tc>
        <w:tc>
          <w:tcPr>
            <w:tcW w:w="2551" w:type="dxa"/>
            <w:vAlign w:val="center"/>
          </w:tcPr>
          <w:p>
            <w:pPr>
              <w:pStyle w:val="11"/>
            </w:pPr>
            <w:r>
              <w:t>4376700.00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23108374.32</w:t>
            </w:r>
          </w:p>
        </w:tc>
        <w:tc>
          <w:tcPr>
            <w:tcW w:w="2551" w:type="dxa"/>
            <w:vAlign w:val="center"/>
          </w:tcPr>
          <w:p>
            <w:pPr>
              <w:pStyle w:val="11"/>
            </w:pPr>
            <w:r>
              <w:t>23038374.32</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23108374.32</w:t>
            </w:r>
          </w:p>
        </w:tc>
        <w:tc>
          <w:tcPr>
            <w:tcW w:w="2551" w:type="dxa"/>
            <w:vAlign w:val="center"/>
          </w:tcPr>
          <w:p>
            <w:pPr>
              <w:pStyle w:val="11"/>
            </w:pPr>
            <w:r>
              <w:t>23038374.32</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4286700.00</w:t>
            </w:r>
          </w:p>
        </w:tc>
        <w:tc>
          <w:tcPr>
            <w:tcW w:w="2551" w:type="dxa"/>
            <w:vAlign w:val="center"/>
          </w:tcPr>
          <w:p>
            <w:pPr>
              <w:pStyle w:val="11"/>
            </w:pPr>
          </w:p>
        </w:tc>
        <w:tc>
          <w:tcPr>
            <w:tcW w:w="2551" w:type="dxa"/>
            <w:vAlign w:val="center"/>
          </w:tcPr>
          <w:p>
            <w:pPr>
              <w:pStyle w:val="11"/>
            </w:pPr>
            <w:r>
              <w:t>4286700.00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2014099</w:t>
            </w:r>
          </w:p>
        </w:tc>
        <w:tc>
          <w:tcPr>
            <w:tcW w:w="4535" w:type="dxa"/>
            <w:vAlign w:val="center"/>
          </w:tcPr>
          <w:p>
            <w:pPr>
              <w:pStyle w:val="12"/>
            </w:pPr>
            <w:r>
              <w:t>其他信访事务支出</w:t>
            </w:r>
          </w:p>
        </w:tc>
        <w:tc>
          <w:tcPr>
            <w:tcW w:w="2551" w:type="dxa"/>
            <w:vAlign w:val="center"/>
          </w:tcPr>
          <w:p>
            <w:pPr>
              <w:pStyle w:val="11"/>
            </w:pPr>
            <w:r>
              <w:t>4286700.00</w:t>
            </w:r>
          </w:p>
        </w:tc>
        <w:tc>
          <w:tcPr>
            <w:tcW w:w="2551" w:type="dxa"/>
            <w:vAlign w:val="center"/>
          </w:tcPr>
          <w:p>
            <w:pPr>
              <w:pStyle w:val="11"/>
            </w:pPr>
          </w:p>
        </w:tc>
        <w:tc>
          <w:tcPr>
            <w:tcW w:w="2551" w:type="dxa"/>
            <w:vAlign w:val="center"/>
          </w:tcPr>
          <w:p>
            <w:pPr>
              <w:pStyle w:val="11"/>
            </w:pPr>
            <w:r>
              <w:t>4286700.00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161000.00</w:t>
            </w:r>
          </w:p>
        </w:tc>
        <w:tc>
          <w:tcPr>
            <w:tcW w:w="2551" w:type="dxa"/>
            <w:vAlign w:val="center"/>
          </w:tcPr>
          <w:p>
            <w:pPr>
              <w:pStyle w:val="11"/>
            </w:pPr>
          </w:p>
        </w:tc>
        <w:tc>
          <w:tcPr>
            <w:tcW w:w="2551" w:type="dxa"/>
            <w:vAlign w:val="center"/>
          </w:tcPr>
          <w:p>
            <w:pPr>
              <w:pStyle w:val="11"/>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161000.00</w:t>
            </w:r>
          </w:p>
        </w:tc>
        <w:tc>
          <w:tcPr>
            <w:tcW w:w="2551" w:type="dxa"/>
            <w:vAlign w:val="center"/>
          </w:tcPr>
          <w:p>
            <w:pPr>
              <w:pStyle w:val="11"/>
            </w:pPr>
          </w:p>
        </w:tc>
        <w:tc>
          <w:tcPr>
            <w:tcW w:w="2551" w:type="dxa"/>
            <w:vAlign w:val="center"/>
          </w:tcPr>
          <w:p>
            <w:pPr>
              <w:pStyle w:val="11"/>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161000.00</w:t>
            </w:r>
          </w:p>
        </w:tc>
        <w:tc>
          <w:tcPr>
            <w:tcW w:w="2551" w:type="dxa"/>
            <w:vAlign w:val="center"/>
          </w:tcPr>
          <w:p>
            <w:pPr>
              <w:pStyle w:val="11"/>
            </w:pPr>
          </w:p>
        </w:tc>
        <w:tc>
          <w:tcPr>
            <w:tcW w:w="2551" w:type="dxa"/>
            <w:vAlign w:val="center"/>
          </w:tcPr>
          <w:p>
            <w:pPr>
              <w:pStyle w:val="11"/>
            </w:pPr>
            <w:r>
              <w:t>161000.00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4587742.00</w:t>
            </w:r>
          </w:p>
        </w:tc>
        <w:tc>
          <w:tcPr>
            <w:tcW w:w="2551" w:type="dxa"/>
            <w:vAlign w:val="center"/>
          </w:tcPr>
          <w:p>
            <w:pPr>
              <w:pStyle w:val="11"/>
            </w:pPr>
          </w:p>
        </w:tc>
        <w:tc>
          <w:tcPr>
            <w:tcW w:w="2551" w:type="dxa"/>
            <w:vAlign w:val="center"/>
          </w:tcPr>
          <w:p>
            <w:pPr>
              <w:pStyle w:val="11"/>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4587742.00</w:t>
            </w:r>
          </w:p>
        </w:tc>
        <w:tc>
          <w:tcPr>
            <w:tcW w:w="2551" w:type="dxa"/>
            <w:vAlign w:val="center"/>
          </w:tcPr>
          <w:p>
            <w:pPr>
              <w:pStyle w:val="11"/>
            </w:pPr>
          </w:p>
        </w:tc>
        <w:tc>
          <w:tcPr>
            <w:tcW w:w="2551" w:type="dxa"/>
            <w:vAlign w:val="center"/>
          </w:tcPr>
          <w:p>
            <w:pPr>
              <w:pStyle w:val="11"/>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4587742.00</w:t>
            </w:r>
          </w:p>
        </w:tc>
        <w:tc>
          <w:tcPr>
            <w:tcW w:w="2551" w:type="dxa"/>
            <w:vAlign w:val="center"/>
          </w:tcPr>
          <w:p>
            <w:pPr>
              <w:pStyle w:val="11"/>
            </w:pPr>
          </w:p>
        </w:tc>
        <w:tc>
          <w:tcPr>
            <w:tcW w:w="2551" w:type="dxa"/>
            <w:vAlign w:val="center"/>
          </w:tcPr>
          <w:p>
            <w:pPr>
              <w:pStyle w:val="11"/>
            </w:pPr>
            <w:r>
              <w:t>4587742.00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126000.00</w:t>
            </w:r>
          </w:p>
        </w:tc>
        <w:tc>
          <w:tcPr>
            <w:tcW w:w="2551" w:type="dxa"/>
            <w:vAlign w:val="center"/>
          </w:tcPr>
          <w:p>
            <w:pPr>
              <w:pStyle w:val="11"/>
            </w:pPr>
          </w:p>
        </w:tc>
        <w:tc>
          <w:tcPr>
            <w:tcW w:w="2551" w:type="dxa"/>
            <w:vAlign w:val="center"/>
          </w:tcPr>
          <w:p>
            <w:pPr>
              <w:pStyle w:val="11"/>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126000.00</w:t>
            </w:r>
          </w:p>
        </w:tc>
        <w:tc>
          <w:tcPr>
            <w:tcW w:w="2551" w:type="dxa"/>
            <w:vAlign w:val="center"/>
          </w:tcPr>
          <w:p>
            <w:pPr>
              <w:pStyle w:val="11"/>
            </w:pPr>
          </w:p>
        </w:tc>
        <w:tc>
          <w:tcPr>
            <w:tcW w:w="2551" w:type="dxa"/>
            <w:vAlign w:val="center"/>
          </w:tcPr>
          <w:p>
            <w:pPr>
              <w:pStyle w:val="11"/>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126000.00</w:t>
            </w:r>
          </w:p>
        </w:tc>
        <w:tc>
          <w:tcPr>
            <w:tcW w:w="2551" w:type="dxa"/>
            <w:vAlign w:val="center"/>
          </w:tcPr>
          <w:p>
            <w:pPr>
              <w:pStyle w:val="11"/>
            </w:pPr>
          </w:p>
        </w:tc>
        <w:tc>
          <w:tcPr>
            <w:tcW w:w="2551" w:type="dxa"/>
            <w:vAlign w:val="center"/>
          </w:tcPr>
          <w:p>
            <w:pPr>
              <w:pStyle w:val="11"/>
            </w:pPr>
            <w:r>
              <w:t>126000.00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23038374.32</w:t>
            </w:r>
          </w:p>
        </w:tc>
        <w:tc>
          <w:tcPr>
            <w:tcW w:w="2551" w:type="dxa"/>
            <w:vAlign w:val="center"/>
          </w:tcPr>
          <w:p>
            <w:pPr>
              <w:pStyle w:val="15"/>
            </w:pPr>
            <w:r>
              <w:t>21388548.41</w:t>
            </w:r>
          </w:p>
        </w:tc>
        <w:tc>
          <w:tcPr>
            <w:tcW w:w="2551" w:type="dxa"/>
            <w:vAlign w:val="center"/>
          </w:tcPr>
          <w:p>
            <w:pPr>
              <w:pStyle w:val="15"/>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20396014.97</w:t>
            </w:r>
          </w:p>
        </w:tc>
        <w:tc>
          <w:tcPr>
            <w:tcW w:w="2551" w:type="dxa"/>
            <w:vAlign w:val="center"/>
          </w:tcPr>
          <w:p>
            <w:pPr>
              <w:pStyle w:val="11"/>
            </w:pPr>
            <w:r>
              <w:t>20396014.97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3949277.49</w:t>
            </w:r>
          </w:p>
        </w:tc>
        <w:tc>
          <w:tcPr>
            <w:tcW w:w="2551" w:type="dxa"/>
            <w:vAlign w:val="center"/>
          </w:tcPr>
          <w:p>
            <w:pPr>
              <w:pStyle w:val="11"/>
            </w:pPr>
            <w:r>
              <w:t>3949277.49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2605811.28</w:t>
            </w:r>
          </w:p>
        </w:tc>
        <w:tc>
          <w:tcPr>
            <w:tcW w:w="2551" w:type="dxa"/>
            <w:vAlign w:val="center"/>
          </w:tcPr>
          <w:p>
            <w:pPr>
              <w:pStyle w:val="11"/>
            </w:pPr>
            <w:r>
              <w:t>2605811.28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615813.00</w:t>
            </w:r>
          </w:p>
        </w:tc>
        <w:tc>
          <w:tcPr>
            <w:tcW w:w="2551" w:type="dxa"/>
            <w:vAlign w:val="center"/>
          </w:tcPr>
          <w:p>
            <w:pPr>
              <w:pStyle w:val="11"/>
            </w:pPr>
            <w:r>
              <w:t>615813.00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1874123.86</w:t>
            </w:r>
          </w:p>
        </w:tc>
        <w:tc>
          <w:tcPr>
            <w:tcW w:w="2551" w:type="dxa"/>
            <w:vAlign w:val="center"/>
          </w:tcPr>
          <w:p>
            <w:pPr>
              <w:pStyle w:val="11"/>
            </w:pPr>
            <w:r>
              <w:t>1874123.86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1198094.86</w:t>
            </w:r>
          </w:p>
        </w:tc>
        <w:tc>
          <w:tcPr>
            <w:tcW w:w="2551" w:type="dxa"/>
            <w:vAlign w:val="center"/>
          </w:tcPr>
          <w:p>
            <w:pPr>
              <w:pStyle w:val="11"/>
            </w:pPr>
            <w:r>
              <w:t>1198094.86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792555.62</w:t>
            </w:r>
          </w:p>
        </w:tc>
        <w:tc>
          <w:tcPr>
            <w:tcW w:w="2551" w:type="dxa"/>
            <w:vAlign w:val="center"/>
          </w:tcPr>
          <w:p>
            <w:pPr>
              <w:pStyle w:val="11"/>
            </w:pPr>
            <w:r>
              <w:t>792555.62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526984.07</w:t>
            </w:r>
          </w:p>
        </w:tc>
        <w:tc>
          <w:tcPr>
            <w:tcW w:w="2551" w:type="dxa"/>
            <w:vAlign w:val="center"/>
          </w:tcPr>
          <w:p>
            <w:pPr>
              <w:pStyle w:val="11"/>
            </w:pPr>
            <w:r>
              <w:t>526984.07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131746.02</w:t>
            </w:r>
          </w:p>
        </w:tc>
        <w:tc>
          <w:tcPr>
            <w:tcW w:w="2551" w:type="dxa"/>
            <w:vAlign w:val="center"/>
          </w:tcPr>
          <w:p>
            <w:pPr>
              <w:pStyle w:val="11"/>
            </w:pPr>
            <w:r>
              <w:t>131746.02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939259.78</w:t>
            </w:r>
          </w:p>
        </w:tc>
        <w:tc>
          <w:tcPr>
            <w:tcW w:w="2551" w:type="dxa"/>
            <w:vAlign w:val="center"/>
          </w:tcPr>
          <w:p>
            <w:pPr>
              <w:pStyle w:val="11"/>
            </w:pPr>
            <w:r>
              <w:t>939259.78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7762348.99</w:t>
            </w:r>
          </w:p>
        </w:tc>
        <w:tc>
          <w:tcPr>
            <w:tcW w:w="2551" w:type="dxa"/>
            <w:vAlign w:val="center"/>
          </w:tcPr>
          <w:p>
            <w:pPr>
              <w:pStyle w:val="11"/>
            </w:pPr>
            <w:r>
              <w:t>7762348.99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1649825.91</w:t>
            </w:r>
          </w:p>
        </w:tc>
        <w:tc>
          <w:tcPr>
            <w:tcW w:w="2551" w:type="dxa"/>
            <w:vAlign w:val="center"/>
          </w:tcPr>
          <w:p>
            <w:pPr>
              <w:pStyle w:val="11"/>
            </w:pPr>
          </w:p>
        </w:tc>
        <w:tc>
          <w:tcPr>
            <w:tcW w:w="2551" w:type="dxa"/>
            <w:vAlign w:val="center"/>
          </w:tcPr>
          <w:p>
            <w:pPr>
              <w:pStyle w:val="11"/>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309000.00</w:t>
            </w:r>
          </w:p>
        </w:tc>
        <w:tc>
          <w:tcPr>
            <w:tcW w:w="2551" w:type="dxa"/>
            <w:vAlign w:val="center"/>
          </w:tcPr>
          <w:p>
            <w:pPr>
              <w:pStyle w:val="11"/>
            </w:pPr>
          </w:p>
        </w:tc>
        <w:tc>
          <w:tcPr>
            <w:tcW w:w="2551" w:type="dxa"/>
            <w:vAlign w:val="center"/>
          </w:tcPr>
          <w:p>
            <w:pPr>
              <w:pStyle w:val="11"/>
            </w:pPr>
            <w:r>
              <w:t>309000.00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118381.51</w:t>
            </w:r>
          </w:p>
        </w:tc>
        <w:tc>
          <w:tcPr>
            <w:tcW w:w="2551" w:type="dxa"/>
            <w:vAlign w:val="center"/>
          </w:tcPr>
          <w:p>
            <w:pPr>
              <w:pStyle w:val="11"/>
            </w:pPr>
          </w:p>
        </w:tc>
        <w:tc>
          <w:tcPr>
            <w:tcW w:w="2551" w:type="dxa"/>
            <w:vAlign w:val="center"/>
          </w:tcPr>
          <w:p>
            <w:pPr>
              <w:pStyle w:val="11"/>
            </w:pPr>
            <w:r>
              <w:t>118381.51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53978.00</w:t>
            </w:r>
          </w:p>
        </w:tc>
        <w:tc>
          <w:tcPr>
            <w:tcW w:w="2551" w:type="dxa"/>
            <w:vAlign w:val="center"/>
          </w:tcPr>
          <w:p>
            <w:pPr>
              <w:pStyle w:val="11"/>
            </w:pPr>
          </w:p>
        </w:tc>
        <w:tc>
          <w:tcPr>
            <w:tcW w:w="2551" w:type="dxa"/>
            <w:vAlign w:val="center"/>
          </w:tcPr>
          <w:p>
            <w:pPr>
              <w:pStyle w:val="11"/>
            </w:pPr>
            <w:r>
              <w:t>53978.00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122176.40</w:t>
            </w:r>
          </w:p>
        </w:tc>
        <w:tc>
          <w:tcPr>
            <w:tcW w:w="2551" w:type="dxa"/>
            <w:vAlign w:val="center"/>
          </w:tcPr>
          <w:p>
            <w:pPr>
              <w:pStyle w:val="11"/>
            </w:pPr>
          </w:p>
        </w:tc>
        <w:tc>
          <w:tcPr>
            <w:tcW w:w="2551" w:type="dxa"/>
            <w:vAlign w:val="center"/>
          </w:tcPr>
          <w:p>
            <w:pPr>
              <w:pStyle w:val="11"/>
            </w:pPr>
            <w:r>
              <w:t>122176.40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205500.00</w:t>
            </w:r>
          </w:p>
        </w:tc>
        <w:tc>
          <w:tcPr>
            <w:tcW w:w="2551" w:type="dxa"/>
            <w:vAlign w:val="center"/>
          </w:tcPr>
          <w:p>
            <w:pPr>
              <w:pStyle w:val="11"/>
            </w:pPr>
          </w:p>
        </w:tc>
        <w:tc>
          <w:tcPr>
            <w:tcW w:w="2551" w:type="dxa"/>
            <w:vAlign w:val="center"/>
          </w:tcPr>
          <w:p>
            <w:pPr>
              <w:pStyle w:val="11"/>
            </w:pPr>
            <w:r>
              <w:t>205500.00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76800.00</w:t>
            </w:r>
          </w:p>
        </w:tc>
        <w:tc>
          <w:tcPr>
            <w:tcW w:w="2551" w:type="dxa"/>
            <w:vAlign w:val="center"/>
          </w:tcPr>
          <w:p>
            <w:pPr>
              <w:pStyle w:val="11"/>
            </w:pPr>
          </w:p>
        </w:tc>
        <w:tc>
          <w:tcPr>
            <w:tcW w:w="2551" w:type="dxa"/>
            <w:vAlign w:val="center"/>
          </w:tcPr>
          <w:p>
            <w:pPr>
              <w:pStyle w:val="11"/>
            </w:pPr>
            <w:r>
              <w:t>76800.00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96000.00</w:t>
            </w:r>
          </w:p>
        </w:tc>
        <w:tc>
          <w:tcPr>
            <w:tcW w:w="2551" w:type="dxa"/>
            <w:vAlign w:val="center"/>
          </w:tcPr>
          <w:p>
            <w:pPr>
              <w:pStyle w:val="11"/>
            </w:pPr>
          </w:p>
        </w:tc>
        <w:tc>
          <w:tcPr>
            <w:tcW w:w="2551" w:type="dxa"/>
            <w:vAlign w:val="center"/>
          </w:tcPr>
          <w:p>
            <w:pPr>
              <w:pStyle w:val="11"/>
            </w:pPr>
            <w:r>
              <w:t>96000.00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464640.00</w:t>
            </w:r>
          </w:p>
        </w:tc>
        <w:tc>
          <w:tcPr>
            <w:tcW w:w="2551" w:type="dxa"/>
            <w:vAlign w:val="center"/>
          </w:tcPr>
          <w:p>
            <w:pPr>
              <w:pStyle w:val="11"/>
            </w:pPr>
          </w:p>
        </w:tc>
        <w:tc>
          <w:tcPr>
            <w:tcW w:w="2551" w:type="dxa"/>
            <w:vAlign w:val="center"/>
          </w:tcPr>
          <w:p>
            <w:pPr>
              <w:pStyle w:val="11"/>
            </w:pPr>
            <w:r>
              <w:t>464640.00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136350.00</w:t>
            </w:r>
          </w:p>
        </w:tc>
        <w:tc>
          <w:tcPr>
            <w:tcW w:w="2551" w:type="dxa"/>
            <w:vAlign w:val="center"/>
          </w:tcPr>
          <w:p>
            <w:pPr>
              <w:pStyle w:val="11"/>
            </w:pPr>
          </w:p>
        </w:tc>
        <w:tc>
          <w:tcPr>
            <w:tcW w:w="2551" w:type="dxa"/>
            <w:vAlign w:val="center"/>
          </w:tcPr>
          <w:p>
            <w:pPr>
              <w:pStyle w:val="11"/>
            </w:pPr>
            <w:r>
              <w:t>136350.00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992533.44</w:t>
            </w:r>
          </w:p>
        </w:tc>
        <w:tc>
          <w:tcPr>
            <w:tcW w:w="2551" w:type="dxa"/>
            <w:vAlign w:val="center"/>
          </w:tcPr>
          <w:p>
            <w:pPr>
              <w:pStyle w:val="11"/>
            </w:pPr>
            <w:r>
              <w:t>992533.44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822073.44</w:t>
            </w:r>
          </w:p>
        </w:tc>
        <w:tc>
          <w:tcPr>
            <w:tcW w:w="2551" w:type="dxa"/>
            <w:vAlign w:val="center"/>
          </w:tcPr>
          <w:p>
            <w:pPr>
              <w:pStyle w:val="11"/>
            </w:pPr>
            <w:r>
              <w:t>822073.44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168300.00</w:t>
            </w:r>
          </w:p>
        </w:tc>
        <w:tc>
          <w:tcPr>
            <w:tcW w:w="2551" w:type="dxa"/>
            <w:vAlign w:val="center"/>
          </w:tcPr>
          <w:p>
            <w:pPr>
              <w:pStyle w:val="11"/>
            </w:pPr>
            <w:r>
              <w:t>168300.00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2160.00</w:t>
            </w:r>
          </w:p>
        </w:tc>
        <w:tc>
          <w:tcPr>
            <w:tcW w:w="2551" w:type="dxa"/>
            <w:vAlign w:val="center"/>
          </w:tcPr>
          <w:p>
            <w:pPr>
              <w:pStyle w:val="11"/>
            </w:pPr>
            <w:r>
              <w:t>2160.00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6</w:t>
            </w:r>
            <w:r>
              <w:t>6000.00</w:t>
            </w:r>
          </w:p>
        </w:tc>
        <w:tc>
          <w:tcPr>
            <w:tcW w:w="2381" w:type="dxa"/>
            <w:vAlign w:val="center"/>
          </w:tcPr>
          <w:p>
            <w:pPr>
              <w:pStyle w:val="15"/>
            </w:pPr>
            <w:r>
              <w:rPr>
                <w:rFonts w:hint="eastAsia"/>
                <w:lang w:val="en-US" w:eastAsia="zh-CN"/>
              </w:rPr>
              <w:t>6</w:t>
            </w:r>
            <w:r>
              <w:t>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玉田县玉田镇人民政府本级2025年单位预算信息公开情况说明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按照《中华人民共和国预算法》、《地方预决算公开操作规程》和《关于进一步推进预算公开工作的实施意见》规定，现将玉田县玉田镇人民政府本级2025年单位预算公开如下：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根据《玉田县玉田镇人民政府职能配置、内设机构和人员编制规定》， 玉田县玉田镇人民政府的主要职责是：</w:t>
      </w:r>
    </w:p>
    <w:p>
      <w:pPr>
        <w:pStyle w:val="17"/>
      </w:pPr>
      <w:r>
        <w:t>1、年度发展规划目标</w:t>
      </w:r>
    </w:p>
    <w:p>
      <w:pPr>
        <w:pStyle w:val="17"/>
      </w:pPr>
      <w:r>
        <w:t>贯彻落实党和国家在农村的方针政策和法律法规，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以党中央的群众路线活动精神为指导，以解放思想大讨论为契机，按照加快全面建设小康社会和建立完善公共财政体系的要求，坚持“收入从实、支出从紧、艰苦奋斗、厉行节约”的原则，统筹兼顾，突出重点，优化结构，切实保证人员工资、津补贴和镇政府的正常运转等基本支出，继续突出对农业、社会保障、医疗卫生等民生重点支出，确保财政收支平衡，为全镇经济科学发展和促进和谐社会建设提供财力保障。</w:t>
      </w:r>
    </w:p>
    <w:p>
      <w:pPr>
        <w:pStyle w:val="17"/>
      </w:pPr>
      <w:r>
        <w:t>2、部门职责分类绩效目标情况说明</w:t>
      </w:r>
    </w:p>
    <w:p>
      <w:pPr>
        <w:pStyle w:val="17"/>
      </w:pPr>
      <w:r>
        <w:t>坚持把项目建设作为经济发展的强力引擎和强镇富民的重要手段，进一步扩大开放，推进招商引资，加快项目建设，实施传统产业转型升级。一是加大对服务业项目的招商力度。围绕县委、县政府招商引资工作总体要求，不断拓展思路，利用我镇良好的地缘优势，广泛开拓渠道，实施全体动员，积极对接京津，大力开展招商引资工作。特别是着眼承接北京产业转移和功能疏解项目，以科技型、环保型项目为主。力争签约亿元以上项目2个，千万元以上项目2个。二是积极推进传统产业转型升级。围绕提升传统骨干企业发展实力，强化政府引导，推进骨干企业向低消耗、低污染、高增值、高效率转型。继续加大技术改造力度，鼓励企业自主创新、创建技术中心。</w:t>
      </w:r>
    </w:p>
    <w:p>
      <w:pPr>
        <w:pStyle w:val="17"/>
      </w:pPr>
      <w:r>
        <w:t>实施民生工程，重点抓好农村街道完善、电力设施改造、农村面貌改造提升等工作。一是补齐镇区路网建设短板。多方筹集资金，加大对镇区路网建设的投入力度，对关系到民生的几条重点道路进行修建，方便群众生产生活，提高镇区整体形象。二是加强对农村电力设施改造。结合电力部门，建立合理的农村电网布局，提高资源的优化配置；根据各村实际情况，更换年久失修的电力设备，满足群众生产生活需要。三是改善农村人居环境。加强镇域内环境卫生的治理力度，改善人民群众生产生活条件。全力加强农村环境卫生与薄弱环节建设，健全基础设施。加大环境卫生整治力度，多措并举保持长效。</w:t>
      </w:r>
    </w:p>
    <w:p>
      <w:pPr>
        <w:pStyle w:val="17"/>
      </w:pPr>
    </w:p>
    <w:p>
      <w:pPr>
        <w:pStyle w:val="17"/>
      </w:pPr>
      <w:r>
        <w:t>3、实现本年度发展规划目标的保障措施</w:t>
      </w:r>
    </w:p>
    <w:p>
      <w:pPr>
        <w:pStyle w:val="17"/>
      </w:pPr>
      <w:r>
        <w:t>牢固树立全县一盘棋思想，结合玉田镇地理定位，在服务园区建设拓展思路、加大投入，努力破解难题，全面做好园区征地工作，多征地、征好地，为企业顺利进场施工，尽快投产达效创造良好环境。同时，努力在用工、环境、后勤服务等方面做好工作，服务园区建设。</w:t>
      </w:r>
    </w:p>
    <w:p>
      <w:pPr>
        <w:pStyle w:val="17"/>
      </w:pPr>
      <w:r>
        <w:t>深入学习贯彻党的十九大精神，坚定执行党的路线，强化“四个意识”，全面开展“三个看一看”解放思想大讨论活动，掌握意识形态领导权。以“两委”换届为契机，通过加强村干部管理、发挥党员先锋模范作用、确立问题导向作用三个方面，全力加强基层组织建设，夯实基层基础。一是加强对村“两委”班子的管理力度。从教育、监督、管理、储备四方面完善村级干部考核奖惩机制，全力做好73个村“两委”换届工作，加大对新任村“两委”干部的教育管理力度。重点加强政治纪律、政治规矩、廉洁纪律、财务纪律、法律法规等培训，规范村干部行为。同时做好离任干部的思想疏导工作，力所能及地为他们解决实际问题，引导他们多发挥正能量，为镇村发展继续贡献力量。二是抓党员队伍建设。严把党员入口关不放松，在发展党员前引入积分机制，优先发展表现突出的积极分子，为基层储备优秀后备力量；通过党员挂牌亮身份、一件事承诺、一对一帮扶制度发挥党员作用，树立党员新形象。三是确立问题导向。全面加强党建示范村建设，打造一批党建示范村，针对后进村具体问题，一村一策制定转化计划，确保后进村都能按时保质完成转化。</w:t>
      </w:r>
    </w:p>
    <w:p>
      <w:pPr>
        <w:pStyle w:val="17"/>
      </w:pPr>
      <w:r>
        <w:t>由镇领导班子成员带队，按照包片管线的责任分工，采取入户下访、定时接访、主动约访等形式，定期对各种矛盾问题隐患进行排查和研判，千方百计把问题化解在萌芽、解决在镇内，维护好全镇的和谐稳定。一是加大公开接访力度。充分发挥镇信访中心作用，规范工作程序和流程，每天安排一名班子成员和一名干部负责接待群众来访。二是继续加大信访积案化解力度。定期召开班子会对信访工作专题研究，坚持一案一策，及时分析研判，切实解决信访问题，依法终结信访案件。三是建立健全突发上访、群体性事件的应急机制。定期要求各村对各自辖区内的矛盾隐患进行全方位、宽领域、深层次排查，及时掌握矛盾纠纷的信息，确保发现得早、化解得了、稳控得住。四是加强信访法制宣传教育，强化打击非访力度。引导群众依法逐级上访，依法理性反映诉求，依法维护信访秩序。坚持依法处置涉访违法行为，坚决防止以闹求解决、以访谋私利、无理缠访闹访等现象发生。</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玉田县玉田镇人民政府本级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32289816.32元，其中：一般公共预算收入32289816.32元，基金预算收入0.00元，国有资本经营预算收入0.00元，财政专户核拨收入0.00元，单位资金收入0.00元，上年结转结余0.00元。</w:t>
      </w:r>
    </w:p>
    <w:p>
      <w:pPr>
        <w:pStyle w:val="18"/>
      </w:pPr>
      <w:r>
        <w:t>2、支出说明</w:t>
      </w:r>
    </w:p>
    <w:p>
      <w:pPr>
        <w:pStyle w:val="22"/>
      </w:pPr>
      <w:r>
        <w:t>收支预算总表支出栏、基本支出表、项目支出表按经济分类和支出功能分类科目编制，反映玉田县玉田镇人民政府本级年度单位预算中支出预算的总体情况。2025年支出预算32289816.32元，其中基本支出23038374.32元，包括人员经费21388548.41元和日常公用经费1649825.91元；项目支出9251442.00元，主要为乡镇人大工作站 2</w:t>
      </w:r>
      <w:r>
        <w:rPr>
          <w:rFonts w:hint="eastAsia"/>
          <w:lang w:val="en-US" w:eastAsia="zh-CN"/>
        </w:rPr>
        <w:t>0000</w:t>
      </w:r>
      <w:r>
        <w:t>元；安保、环保、安全生产、应急、食药监管2</w:t>
      </w:r>
      <w:r>
        <w:rPr>
          <w:rFonts w:hint="eastAsia"/>
          <w:lang w:val="en-US" w:eastAsia="zh-CN"/>
        </w:rPr>
        <w:t>0000</w:t>
      </w:r>
      <w:r>
        <w:t>元；人武、党团妇建、纪检、宣传经费3</w:t>
      </w:r>
      <w:r>
        <w:rPr>
          <w:rFonts w:hint="eastAsia"/>
          <w:lang w:val="en-US" w:eastAsia="zh-CN"/>
        </w:rPr>
        <w:t>0000</w:t>
      </w:r>
      <w:r>
        <w:t>元；河渠清理及河长制2</w:t>
      </w:r>
      <w:r>
        <w:rPr>
          <w:rFonts w:hint="eastAsia"/>
          <w:lang w:val="en-US" w:eastAsia="zh-CN"/>
        </w:rPr>
        <w:t>0000</w:t>
      </w:r>
      <w:r>
        <w:t>元；刘洪霞信访支出312</w:t>
      </w:r>
      <w:r>
        <w:rPr>
          <w:rFonts w:hint="eastAsia"/>
          <w:lang w:val="en-US" w:eastAsia="zh-CN"/>
        </w:rPr>
        <w:t>00</w:t>
      </w:r>
      <w:r>
        <w:t>元；营房村葛长波信访支出25</w:t>
      </w:r>
      <w:r>
        <w:rPr>
          <w:rFonts w:hint="eastAsia"/>
          <w:lang w:val="en-US" w:eastAsia="zh-CN"/>
        </w:rPr>
        <w:t>0000</w:t>
      </w:r>
      <w:r>
        <w:t>元； 尹东红信记支出327</w:t>
      </w:r>
      <w:r>
        <w:rPr>
          <w:rFonts w:hint="eastAsia"/>
          <w:lang w:val="en-US" w:eastAsia="zh-CN"/>
        </w:rPr>
        <w:t>000</w:t>
      </w:r>
      <w:r>
        <w:t>元，孟丽珍信访支出10</w:t>
      </w:r>
      <w:r>
        <w:rPr>
          <w:rFonts w:hint="eastAsia"/>
          <w:lang w:val="en-US" w:eastAsia="zh-CN"/>
        </w:rPr>
        <w:t>0000</w:t>
      </w:r>
      <w:r>
        <w:t>元；尹兆峰信访支出70</w:t>
      </w:r>
      <w:r>
        <w:rPr>
          <w:rFonts w:hint="eastAsia"/>
          <w:lang w:val="en-US" w:eastAsia="zh-CN"/>
        </w:rPr>
        <w:t>0000</w:t>
      </w:r>
      <w:r>
        <w:t>元；洪潮铸造征地相关支出29785</w:t>
      </w:r>
      <w:r>
        <w:rPr>
          <w:rFonts w:hint="eastAsia"/>
          <w:lang w:val="en-US" w:eastAsia="zh-CN"/>
        </w:rPr>
        <w:t>00</w:t>
      </w:r>
      <w:r>
        <w:t>元；2025年绿化租地款4487745元；下坎村7户过渡费126</w:t>
      </w:r>
      <w:r>
        <w:rPr>
          <w:rFonts w:hint="eastAsia"/>
          <w:lang w:val="en-US" w:eastAsia="zh-CN"/>
        </w:rPr>
        <w:t>000</w:t>
      </w:r>
      <w:r>
        <w:t>元。残保金161</w:t>
      </w:r>
      <w:r>
        <w:rPr>
          <w:rFonts w:hint="eastAsia"/>
          <w:lang w:val="en-US" w:eastAsia="zh-CN"/>
        </w:rPr>
        <w:t>000</w:t>
      </w:r>
      <w:r>
        <w:t>元</w:t>
      </w:r>
    </w:p>
    <w:p>
      <w:pPr>
        <w:pStyle w:val="18"/>
      </w:pPr>
      <w:r>
        <w:t>3、比上年增减情况</w:t>
      </w:r>
    </w:p>
    <w:p>
      <w:pPr>
        <w:pStyle w:val="22"/>
      </w:pPr>
      <w:r>
        <w:t>2025年预算收支安排32289816.32元，较2024年预算减少8035309.29元，其中：基本支出增加654170.21元，主要为人员经费21388548.41元，日常公用1649825.91元：办公费30</w:t>
      </w:r>
      <w:r>
        <w:rPr>
          <w:rFonts w:hint="eastAsia"/>
          <w:lang w:val="en-US" w:eastAsia="zh-CN"/>
        </w:rPr>
        <w:t>0000</w:t>
      </w:r>
      <w:r>
        <w:t>元，电费11838151</w:t>
      </w:r>
      <w:r>
        <w:rPr>
          <w:rFonts w:hint="eastAsia"/>
          <w:lang w:val="en-US" w:eastAsia="zh-CN"/>
        </w:rPr>
        <w:t>00</w:t>
      </w:r>
      <w:r>
        <w:t>元，邮电费53978元，取暖费122176</w:t>
      </w:r>
      <w:r>
        <w:rPr>
          <w:rFonts w:hint="eastAsia"/>
          <w:lang w:val="en-US" w:eastAsia="zh-CN"/>
        </w:rPr>
        <w:t>.</w:t>
      </w:r>
      <w:r>
        <w:t>4元，差旅费2055</w:t>
      </w:r>
      <w:r>
        <w:rPr>
          <w:rFonts w:hint="eastAsia"/>
          <w:lang w:val="en-US" w:eastAsia="zh-CN"/>
        </w:rPr>
        <w:t>00</w:t>
      </w:r>
      <w:r>
        <w:t>元，公务用车运行维护费46</w:t>
      </w:r>
      <w:r>
        <w:rPr>
          <w:rFonts w:hint="eastAsia"/>
          <w:lang w:val="en-US" w:eastAsia="zh-CN"/>
        </w:rPr>
        <w:t>000</w:t>
      </w:r>
      <w:r>
        <w:t>元，其他商品服务支出54</w:t>
      </w:r>
      <w:r>
        <w:rPr>
          <w:rFonts w:hint="eastAsia"/>
          <w:lang w:val="en-US" w:eastAsia="zh-CN"/>
        </w:rPr>
        <w:t>000</w:t>
      </w:r>
      <w:r>
        <w:t>元，退休干部公用经费244</w:t>
      </w:r>
      <w:r>
        <w:rPr>
          <w:rFonts w:hint="eastAsia"/>
          <w:lang w:val="en-US" w:eastAsia="zh-CN"/>
        </w:rPr>
        <w:t>00</w:t>
      </w:r>
      <w:r>
        <w:t>元，退休干部特需费122</w:t>
      </w:r>
      <w:r>
        <w:rPr>
          <w:rFonts w:hint="eastAsia"/>
          <w:lang w:val="en-US" w:eastAsia="zh-CN"/>
        </w:rPr>
        <w:t>00</w:t>
      </w:r>
      <w:r>
        <w:t>元，退休干部福利费4575</w:t>
      </w:r>
      <w:r>
        <w:rPr>
          <w:rFonts w:hint="eastAsia"/>
          <w:lang w:val="en-US" w:eastAsia="zh-CN"/>
        </w:rPr>
        <w:t>0</w:t>
      </w:r>
      <w:r>
        <w:t>元，公务交通补贴46464</w:t>
      </w:r>
      <w:r>
        <w:rPr>
          <w:rFonts w:hint="eastAsia"/>
          <w:lang w:val="en-US" w:eastAsia="zh-CN"/>
        </w:rPr>
        <w:t>0</w:t>
      </w:r>
      <w:r>
        <w:t>元，工会费768</w:t>
      </w:r>
      <w:r>
        <w:rPr>
          <w:rFonts w:hint="eastAsia"/>
          <w:lang w:val="en-US" w:eastAsia="zh-CN"/>
        </w:rPr>
        <w:t>00</w:t>
      </w:r>
      <w:r>
        <w:t>元，福利费96</w:t>
      </w:r>
      <w:r>
        <w:rPr>
          <w:rFonts w:hint="eastAsia"/>
          <w:lang w:val="en-US" w:eastAsia="zh-CN"/>
        </w:rPr>
        <w:t>000</w:t>
      </w:r>
      <w:r>
        <w:t>元。项目支出减少8689479.50元，主要为乡镇人大工作站 2</w:t>
      </w:r>
      <w:r>
        <w:rPr>
          <w:rFonts w:hint="eastAsia"/>
          <w:lang w:val="en-US" w:eastAsia="zh-CN"/>
        </w:rPr>
        <w:t>0000</w:t>
      </w:r>
      <w:r>
        <w:t>元；安保、环保、安全生产、应急、食药监管2</w:t>
      </w:r>
      <w:r>
        <w:rPr>
          <w:rFonts w:hint="eastAsia"/>
          <w:lang w:val="en-US" w:eastAsia="zh-CN"/>
        </w:rPr>
        <w:t>0000</w:t>
      </w:r>
      <w:r>
        <w:t>元；人武、党团妇建、纪检、宣传经费3</w:t>
      </w:r>
      <w:r>
        <w:rPr>
          <w:rFonts w:hint="eastAsia"/>
          <w:lang w:val="en-US" w:eastAsia="zh-CN"/>
        </w:rPr>
        <w:t>0000</w:t>
      </w:r>
      <w:r>
        <w:t>元；河渠清理及河长制2</w:t>
      </w:r>
      <w:r>
        <w:rPr>
          <w:rFonts w:hint="eastAsia"/>
          <w:lang w:val="en-US" w:eastAsia="zh-CN"/>
        </w:rPr>
        <w:t>0000</w:t>
      </w:r>
      <w:r>
        <w:t>元；刘洪霞信访支出312</w:t>
      </w:r>
      <w:r>
        <w:rPr>
          <w:rFonts w:hint="eastAsia"/>
          <w:lang w:val="en-US" w:eastAsia="zh-CN"/>
        </w:rPr>
        <w:t>00</w:t>
      </w:r>
      <w:r>
        <w:t>元；营房村葛长波信访支出25</w:t>
      </w:r>
      <w:r>
        <w:rPr>
          <w:rFonts w:hint="eastAsia"/>
          <w:lang w:val="en-US" w:eastAsia="zh-CN"/>
        </w:rPr>
        <w:t>0000</w:t>
      </w:r>
      <w:r>
        <w:t>元； 尹东红信记支出327</w:t>
      </w:r>
      <w:r>
        <w:rPr>
          <w:rFonts w:hint="eastAsia"/>
          <w:lang w:val="en-US" w:eastAsia="zh-CN"/>
        </w:rPr>
        <w:t>000</w:t>
      </w:r>
      <w:r>
        <w:t>元，孟丽珍信访支出10</w:t>
      </w:r>
      <w:r>
        <w:rPr>
          <w:rFonts w:hint="eastAsia"/>
          <w:lang w:val="en-US" w:eastAsia="zh-CN"/>
        </w:rPr>
        <w:t>0000</w:t>
      </w:r>
      <w:r>
        <w:t>元；尹兆峰信访支出70</w:t>
      </w:r>
      <w:r>
        <w:rPr>
          <w:rFonts w:hint="eastAsia"/>
          <w:lang w:val="en-US" w:eastAsia="zh-CN"/>
        </w:rPr>
        <w:t>0000</w:t>
      </w:r>
      <w:r>
        <w:t>元；洪潮铸造征地相关支出29785</w:t>
      </w:r>
      <w:r>
        <w:rPr>
          <w:rFonts w:hint="eastAsia"/>
          <w:lang w:val="en-US" w:eastAsia="zh-CN"/>
        </w:rPr>
        <w:t>00</w:t>
      </w:r>
      <w:r>
        <w:t>元；2025年绿化租地款4487745元；下坎村7户过渡费126</w:t>
      </w:r>
      <w:r>
        <w:rPr>
          <w:rFonts w:hint="eastAsia"/>
          <w:lang w:val="en-US" w:eastAsia="zh-CN"/>
        </w:rPr>
        <w:t>000</w:t>
      </w:r>
      <w:r>
        <w:t>元。残保金161</w:t>
      </w:r>
      <w:r>
        <w:rPr>
          <w:rFonts w:hint="eastAsia"/>
          <w:lang w:val="en-US" w:eastAsia="zh-CN"/>
        </w:rPr>
        <w:t>000</w:t>
      </w:r>
      <w:r>
        <w:t>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2025年，我单位机关运行经费共计安排1649825.91元，主要用于日常维修、办公用房水电费、办公用房取暖费、办公用房物业管理费等日常运行支出。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lang w:eastAsia="zh-CN"/>
        </w:rPr>
      </w:pPr>
      <w:r>
        <w:t>2025年，我单位财政拨款“三公”经费预算安排</w:t>
      </w:r>
      <w:r>
        <w:rPr>
          <w:rFonts w:hint="eastAsia"/>
          <w:lang w:val="en-US" w:eastAsia="zh-CN"/>
        </w:rPr>
        <w:t>66000</w:t>
      </w:r>
      <w:r>
        <w:t>元，其中因公出国（境）费0.00元；公务用车购置及运维费</w:t>
      </w:r>
      <w:r>
        <w:rPr>
          <w:rFonts w:hint="eastAsia"/>
          <w:lang w:val="en-US" w:eastAsia="zh-CN"/>
        </w:rPr>
        <w:t>46000</w:t>
      </w:r>
      <w:r>
        <w:t>元（其中：公务用车购置费为0.00元，公务用车运维费</w:t>
      </w:r>
      <w:r>
        <w:rPr>
          <w:rFonts w:hint="eastAsia"/>
          <w:lang w:val="en-US" w:eastAsia="zh-CN"/>
        </w:rPr>
        <w:t>46000</w:t>
      </w:r>
      <w:r>
        <w:t>元)；公务接待费</w:t>
      </w:r>
      <w:r>
        <w:rPr>
          <w:rFonts w:hint="eastAsia"/>
          <w:lang w:val="en-US" w:eastAsia="zh-CN"/>
        </w:rPr>
        <w:t>20000</w:t>
      </w:r>
      <w:r>
        <w:t>元。与2024年相比</w:t>
      </w:r>
      <w:r>
        <w:rPr>
          <w:rFonts w:hint="eastAsia"/>
          <w:lang w:eastAsia="zh-CN"/>
        </w:rPr>
        <w:t>减少</w:t>
      </w:r>
      <w:r>
        <w:rPr>
          <w:rFonts w:hint="eastAsia"/>
          <w:lang w:val="en-US" w:eastAsia="zh-CN"/>
        </w:rPr>
        <w:t>1000</w:t>
      </w:r>
      <w:r>
        <w:t>0.00元，增减变化的主要原因是</w:t>
      </w:r>
      <w:r>
        <w:rPr>
          <w:rFonts w:hint="eastAsia"/>
          <w:lang w:eastAsia="zh-CN"/>
        </w:rPr>
        <w:t>落实过紧日子要求，压缩开支。</w:t>
      </w:r>
      <w:r>
        <w:t>2025年，我部门财政拨款“三公”经费预算安排660</w:t>
      </w:r>
      <w:r>
        <w:rPr>
          <w:rFonts w:hint="eastAsia"/>
          <w:lang w:val="en-US" w:eastAsia="zh-CN"/>
        </w:rPr>
        <w:t>00</w:t>
      </w:r>
      <w:r>
        <w:t>元，其中因公出国（境）费0.00元； 公务用车购置及运维费460</w:t>
      </w:r>
      <w:r>
        <w:rPr>
          <w:rFonts w:hint="eastAsia"/>
          <w:lang w:val="en-US" w:eastAsia="zh-CN"/>
        </w:rPr>
        <w:t>00</w:t>
      </w:r>
      <w:r>
        <w:t>元（其中：公务用车购置费为0.00元，公务用车运维费460</w:t>
      </w:r>
      <w:r>
        <w:rPr>
          <w:rFonts w:hint="eastAsia"/>
          <w:lang w:val="en-US" w:eastAsia="zh-CN"/>
        </w:rPr>
        <w:t>00</w:t>
      </w:r>
      <w:r>
        <w:t>元)； 公务接待费2</w:t>
      </w:r>
      <w:r>
        <w:rPr>
          <w:rFonts w:hint="eastAsia"/>
          <w:lang w:val="en-US" w:eastAsia="zh-CN"/>
        </w:rPr>
        <w:t>00</w:t>
      </w:r>
      <w:r>
        <w:t>00元。落实过紧日子要求，与2024年相比公务接待费减少1</w:t>
      </w:r>
      <w:r>
        <w:rPr>
          <w:rFonts w:hint="eastAsia"/>
          <w:lang w:val="en-US" w:eastAsia="zh-CN"/>
        </w:rPr>
        <w:t>0000</w:t>
      </w:r>
      <w:r>
        <w:t>元。</w:t>
      </w:r>
      <w:r>
        <w:rPr>
          <w:rFonts w:hint="eastAsia"/>
          <w:lang w:eastAsia="zh-CN"/>
        </w:rPr>
        <w:t>具体安排：</w:t>
      </w:r>
    </w:p>
    <w:p>
      <w:pPr>
        <w:pStyle w:val="23"/>
        <w:rPr>
          <w:rFonts w:hint="default"/>
          <w:lang w:val="en-US" w:eastAsia="zh-CN"/>
        </w:rPr>
      </w:pPr>
      <w:r>
        <w:rPr>
          <w:rFonts w:hint="eastAsia"/>
          <w:lang w:eastAsia="zh-CN"/>
        </w:rPr>
        <w:t>（一）公务用车购置及运行费。共计</w:t>
      </w:r>
      <w:r>
        <w:rPr>
          <w:rFonts w:hint="eastAsia"/>
          <w:lang w:val="en-US" w:eastAsia="zh-CN"/>
        </w:rPr>
        <w:t>46000元，与上年持平，无增减变化。</w:t>
      </w:r>
    </w:p>
    <w:p>
      <w:pPr>
        <w:pStyle w:val="23"/>
        <w:rPr>
          <w:rFonts w:hint="eastAsia"/>
          <w:lang w:val="en-US" w:eastAsia="zh-CN"/>
        </w:rPr>
      </w:pPr>
      <w:r>
        <w:rPr>
          <w:rFonts w:hint="eastAsia"/>
          <w:lang w:eastAsia="zh-CN"/>
        </w:rPr>
        <w:t>（１）公务用车购置安排</w:t>
      </w:r>
      <w:r>
        <w:rPr>
          <w:rFonts w:hint="eastAsia"/>
          <w:lang w:val="en-US" w:eastAsia="zh-CN"/>
        </w:rPr>
        <w:t>0元，与上年持平，无增减变化。</w:t>
      </w:r>
    </w:p>
    <w:p>
      <w:pPr>
        <w:pStyle w:val="23"/>
        <w:rPr>
          <w:rFonts w:hint="eastAsia"/>
          <w:lang w:val="en-US" w:eastAsia="zh-CN"/>
        </w:rPr>
      </w:pPr>
      <w:r>
        <w:rPr>
          <w:rFonts w:hint="eastAsia"/>
          <w:lang w:val="en-US" w:eastAsia="zh-CN"/>
        </w:rPr>
        <w:t>（2）公车运行维护经费46000元，与上年持平，无增减变化。</w:t>
      </w:r>
    </w:p>
    <w:p>
      <w:pPr>
        <w:pStyle w:val="23"/>
        <w:rPr>
          <w:rFonts w:hint="eastAsia"/>
          <w:lang w:val="en-US" w:eastAsia="zh-CN"/>
        </w:rPr>
      </w:pPr>
      <w:r>
        <w:rPr>
          <w:rFonts w:hint="eastAsia"/>
          <w:lang w:val="en-US" w:eastAsia="zh-CN"/>
        </w:rPr>
        <w:t>（二）公务接待费。安排20000元，较2024年减少10000元。</w:t>
      </w:r>
    </w:p>
    <w:p>
      <w:pPr>
        <w:pStyle w:val="23"/>
      </w:pPr>
      <w:r>
        <w:rPr>
          <w:rFonts w:hint="eastAsia"/>
          <w:lang w:val="en-US" w:eastAsia="zh-CN"/>
        </w:rPr>
        <w:t>（三）因公出国（境）费安排0元，与上年持平，无增减变化。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1、2025年绿化租地款绩效目标表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13022925P00020810008B</w:t>
            </w:r>
          </w:p>
        </w:tc>
        <w:tc>
          <w:tcPr>
            <w:tcW w:w="2835" w:type="dxa"/>
            <w:vAlign w:val="center"/>
          </w:tcPr>
          <w:p>
            <w:pPr>
              <w:pStyle w:val="10"/>
            </w:pPr>
            <w:r>
              <w:t>项目名称</w:t>
            </w:r>
          </w:p>
        </w:tc>
        <w:tc>
          <w:tcPr>
            <w:tcW w:w="6095" w:type="dxa"/>
            <w:gridSpan w:val="3"/>
            <w:vAlign w:val="center"/>
          </w:tcPr>
          <w:p>
            <w:pPr>
              <w:pStyle w:val="12"/>
            </w:pPr>
            <w:r>
              <w:t>2025年绿化租地款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4487742.00</w:t>
            </w:r>
          </w:p>
        </w:tc>
        <w:tc>
          <w:tcPr>
            <w:tcW w:w="2835" w:type="dxa"/>
            <w:vAlign w:val="center"/>
          </w:tcPr>
          <w:p>
            <w:pPr>
              <w:pStyle w:val="10"/>
            </w:pPr>
            <w:r>
              <w:t>其中：财政    资金</w:t>
            </w:r>
          </w:p>
        </w:tc>
        <w:tc>
          <w:tcPr>
            <w:tcW w:w="2551" w:type="dxa"/>
            <w:vAlign w:val="center"/>
          </w:tcPr>
          <w:p>
            <w:pPr>
              <w:pStyle w:val="12"/>
            </w:pPr>
            <w:r>
              <w:t>4487742.00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2025年绿化租地款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1.资金到位后，及时拨付给相关个人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租地亩数</w:t>
            </w:r>
          </w:p>
        </w:tc>
        <w:tc>
          <w:tcPr>
            <w:tcW w:w="5386" w:type="dxa"/>
            <w:vAlign w:val="center"/>
          </w:tcPr>
          <w:p>
            <w:pPr>
              <w:pStyle w:val="12"/>
            </w:pPr>
            <w:r>
              <w:t>租地亩数</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租地完成率</w:t>
            </w:r>
          </w:p>
        </w:tc>
        <w:tc>
          <w:tcPr>
            <w:tcW w:w="5386" w:type="dxa"/>
            <w:vAlign w:val="center"/>
          </w:tcPr>
          <w:p>
            <w:pPr>
              <w:pStyle w:val="12"/>
            </w:pPr>
            <w:r>
              <w:t>租地完成率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租地完成时限</w:t>
            </w:r>
          </w:p>
        </w:tc>
        <w:tc>
          <w:tcPr>
            <w:tcW w:w="5386" w:type="dxa"/>
            <w:vAlign w:val="center"/>
          </w:tcPr>
          <w:p>
            <w:pPr>
              <w:pStyle w:val="12"/>
            </w:pPr>
            <w:r>
              <w:t>租地完成时限</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绿化租地成本 </w:t>
            </w:r>
          </w:p>
        </w:tc>
        <w:tc>
          <w:tcPr>
            <w:tcW w:w="5386" w:type="dxa"/>
            <w:vAlign w:val="center"/>
          </w:tcPr>
          <w:p>
            <w:pPr>
              <w:pStyle w:val="12"/>
            </w:pPr>
            <w:r>
              <w:t xml:space="preserve">绿化租地成本 </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绿化总规模</w:t>
            </w:r>
          </w:p>
        </w:tc>
        <w:tc>
          <w:tcPr>
            <w:tcW w:w="5386" w:type="dxa"/>
            <w:vAlign w:val="center"/>
          </w:tcPr>
          <w:p>
            <w:pPr>
              <w:pStyle w:val="12"/>
            </w:pPr>
            <w:r>
              <w:t>绿化总规模</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绿化对环境的影响</w:t>
            </w:r>
          </w:p>
        </w:tc>
        <w:tc>
          <w:tcPr>
            <w:tcW w:w="5386" w:type="dxa"/>
            <w:vAlign w:val="center"/>
          </w:tcPr>
          <w:p>
            <w:pPr>
              <w:pStyle w:val="12"/>
            </w:pPr>
            <w:r>
              <w:t>绿化对环境的影响</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推动环保事业的发展</w:t>
            </w:r>
          </w:p>
        </w:tc>
        <w:tc>
          <w:tcPr>
            <w:tcW w:w="5386" w:type="dxa"/>
            <w:vAlign w:val="center"/>
          </w:tcPr>
          <w:p>
            <w:pPr>
              <w:pStyle w:val="12"/>
            </w:pPr>
            <w:r>
              <w:t>推动环保事业的发展</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13022925P00JXC419420N</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安保环保安全生产应急等工作量</w:t>
            </w:r>
          </w:p>
        </w:tc>
        <w:tc>
          <w:tcPr>
            <w:tcW w:w="5386" w:type="dxa"/>
            <w:vAlign w:val="center"/>
          </w:tcPr>
          <w:p>
            <w:pPr>
              <w:pStyle w:val="12"/>
            </w:pPr>
            <w:r>
              <w:t>安保环保安全生产应急等工作量</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财政拨款保证率</w:t>
            </w:r>
          </w:p>
        </w:tc>
        <w:tc>
          <w:tcPr>
            <w:tcW w:w="5386" w:type="dxa"/>
            <w:vAlign w:val="center"/>
          </w:tcPr>
          <w:p>
            <w:pPr>
              <w:pStyle w:val="12"/>
            </w:pPr>
            <w:r>
              <w:t>财政拨款保证率</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各项工作完成及时性</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对周边经济环境的促进</w:t>
            </w:r>
          </w:p>
        </w:tc>
        <w:tc>
          <w:tcPr>
            <w:tcW w:w="5386" w:type="dxa"/>
            <w:vAlign w:val="center"/>
          </w:tcPr>
          <w:p>
            <w:pPr>
              <w:pStyle w:val="12"/>
            </w:pPr>
            <w:r>
              <w:t>对周边经济环境的促进</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对社会稳定的影响</w:t>
            </w:r>
          </w:p>
        </w:tc>
        <w:tc>
          <w:tcPr>
            <w:tcW w:w="5386" w:type="dxa"/>
            <w:vAlign w:val="center"/>
          </w:tcPr>
          <w:p>
            <w:pPr>
              <w:pStyle w:val="12"/>
            </w:pPr>
            <w:r>
              <w:t>对社会稳定的影响</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对生态环境的影响</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建立长效机制</w:t>
            </w:r>
          </w:p>
        </w:tc>
        <w:tc>
          <w:tcPr>
            <w:tcW w:w="5386" w:type="dxa"/>
            <w:vAlign w:val="center"/>
          </w:tcPr>
          <w:p>
            <w:pPr>
              <w:pStyle w:val="12"/>
            </w:pPr>
            <w:r>
              <w:t>建立长效机制</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13022925P00JXC419637E</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161000.00</w:t>
            </w:r>
          </w:p>
        </w:tc>
        <w:tc>
          <w:tcPr>
            <w:tcW w:w="2835" w:type="dxa"/>
            <w:vAlign w:val="center"/>
          </w:tcPr>
          <w:p>
            <w:pPr>
              <w:pStyle w:val="10"/>
            </w:pPr>
            <w:r>
              <w:t>其中：财政    资金</w:t>
            </w:r>
          </w:p>
        </w:tc>
        <w:tc>
          <w:tcPr>
            <w:tcW w:w="2551" w:type="dxa"/>
            <w:vAlign w:val="center"/>
          </w:tcPr>
          <w:p>
            <w:pPr>
              <w:pStyle w:val="12"/>
            </w:pPr>
            <w:r>
              <w:t>161000.00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残疾人保障qq金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1.2025年按时完成支付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本单位涉及缴纳残保金人数</w:t>
            </w:r>
          </w:p>
        </w:tc>
        <w:tc>
          <w:tcPr>
            <w:tcW w:w="5386" w:type="dxa"/>
            <w:vAlign w:val="center"/>
          </w:tcPr>
          <w:p>
            <w:pPr>
              <w:pStyle w:val="12"/>
            </w:pPr>
            <w:r>
              <w:t>本单位涉及缴纳残保金人数</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完成缴纳残保金情况</w:t>
            </w:r>
          </w:p>
        </w:tc>
        <w:tc>
          <w:tcPr>
            <w:tcW w:w="5386" w:type="dxa"/>
            <w:vAlign w:val="center"/>
          </w:tcPr>
          <w:p>
            <w:pPr>
              <w:pStyle w:val="12"/>
            </w:pPr>
            <w:r>
              <w:t>完成缴纳残保金情况</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按时缴纳</w:t>
            </w:r>
          </w:p>
        </w:tc>
        <w:tc>
          <w:tcPr>
            <w:tcW w:w="5386" w:type="dxa"/>
            <w:vAlign w:val="center"/>
          </w:tcPr>
          <w:p>
            <w:pPr>
              <w:pStyle w:val="12"/>
            </w:pPr>
            <w:r>
              <w:t>按时缴纳</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涉及缴纳总金额</w:t>
            </w:r>
          </w:p>
        </w:tc>
        <w:tc>
          <w:tcPr>
            <w:tcW w:w="5386" w:type="dxa"/>
            <w:vAlign w:val="center"/>
          </w:tcPr>
          <w:p>
            <w:pPr>
              <w:pStyle w:val="12"/>
            </w:pPr>
            <w:r>
              <w:t>涉及缴纳总金额</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该项目对当地经济环境的影响</w:t>
            </w:r>
          </w:p>
        </w:tc>
        <w:tc>
          <w:tcPr>
            <w:tcW w:w="5386" w:type="dxa"/>
            <w:vAlign w:val="center"/>
          </w:tcPr>
          <w:p>
            <w:pPr>
              <w:pStyle w:val="12"/>
            </w:pPr>
            <w:r>
              <w:t>该项目对当地经济环境的影响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该项目对周边社会舆论的影响</w:t>
            </w:r>
          </w:p>
        </w:tc>
        <w:tc>
          <w:tcPr>
            <w:tcW w:w="5386" w:type="dxa"/>
            <w:vAlign w:val="center"/>
          </w:tcPr>
          <w:p>
            <w:pPr>
              <w:pStyle w:val="12"/>
            </w:pPr>
            <w:r>
              <w:t>该项目对周边社会舆论的影响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该项目对生态环境的影响</w:t>
            </w:r>
          </w:p>
        </w:tc>
        <w:tc>
          <w:tcPr>
            <w:tcW w:w="5386" w:type="dxa"/>
            <w:vAlign w:val="center"/>
          </w:tcPr>
          <w:p>
            <w:pPr>
              <w:pStyle w:val="12"/>
            </w:pPr>
            <w:r>
              <w:t>该项目对生态环境的影响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建立健全长效机制</w:t>
            </w:r>
          </w:p>
        </w:tc>
        <w:tc>
          <w:tcPr>
            <w:tcW w:w="5386" w:type="dxa"/>
            <w:vAlign w:val="center"/>
          </w:tcPr>
          <w:p>
            <w:pPr>
              <w:pStyle w:val="12"/>
            </w:pPr>
            <w:r>
              <w:t>建立健全长效机制</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13022925P00016410019P</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河渠清理及河长制经费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1.项目完成后，及时拨付到位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河长人数及河渠长度</w:t>
            </w:r>
          </w:p>
        </w:tc>
        <w:tc>
          <w:tcPr>
            <w:tcW w:w="5386" w:type="dxa"/>
            <w:vAlign w:val="center"/>
          </w:tcPr>
          <w:p>
            <w:pPr>
              <w:pStyle w:val="12"/>
            </w:pPr>
            <w:r>
              <w:t>河长人数及河渠长度</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河渠清理程度</w:t>
            </w:r>
          </w:p>
        </w:tc>
        <w:tc>
          <w:tcPr>
            <w:tcW w:w="5386" w:type="dxa"/>
            <w:vAlign w:val="center"/>
          </w:tcPr>
          <w:p>
            <w:pPr>
              <w:pStyle w:val="12"/>
            </w:pPr>
            <w:r>
              <w:t>河渠清理程度</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及时清理</w:t>
            </w:r>
          </w:p>
        </w:tc>
        <w:tc>
          <w:tcPr>
            <w:tcW w:w="5386" w:type="dxa"/>
            <w:vAlign w:val="center"/>
          </w:tcPr>
          <w:p>
            <w:pPr>
              <w:pStyle w:val="12"/>
            </w:pPr>
            <w:r>
              <w:t>及时清理</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河渠清理决成本</w:t>
            </w:r>
          </w:p>
        </w:tc>
        <w:tc>
          <w:tcPr>
            <w:tcW w:w="5386" w:type="dxa"/>
            <w:vAlign w:val="center"/>
          </w:tcPr>
          <w:p>
            <w:pPr>
              <w:pStyle w:val="12"/>
            </w:pPr>
            <w:r>
              <w:t>河渠清理决成本</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对周边经济的影响</w:t>
            </w:r>
          </w:p>
        </w:tc>
        <w:tc>
          <w:tcPr>
            <w:tcW w:w="5386" w:type="dxa"/>
            <w:vAlign w:val="center"/>
          </w:tcPr>
          <w:p>
            <w:pPr>
              <w:pStyle w:val="12"/>
            </w:pPr>
            <w:r>
              <w:t>对周边经济的影响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对周边社会环境的影响</w:t>
            </w:r>
          </w:p>
        </w:tc>
        <w:tc>
          <w:tcPr>
            <w:tcW w:w="5386" w:type="dxa"/>
            <w:vAlign w:val="center"/>
          </w:tcPr>
          <w:p>
            <w:pPr>
              <w:pStyle w:val="12"/>
            </w:pPr>
            <w:r>
              <w:t>对周边社会环境的影响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对河两侧生态环境的影响</w:t>
            </w:r>
          </w:p>
        </w:tc>
        <w:tc>
          <w:tcPr>
            <w:tcW w:w="5386" w:type="dxa"/>
            <w:vAlign w:val="center"/>
          </w:tcPr>
          <w:p>
            <w:pPr>
              <w:pStyle w:val="12"/>
            </w:pPr>
            <w:r>
              <w:t>对河两侧生态环境的影响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建立长效机制</w:t>
            </w:r>
          </w:p>
        </w:tc>
        <w:tc>
          <w:tcPr>
            <w:tcW w:w="5386" w:type="dxa"/>
            <w:vAlign w:val="center"/>
          </w:tcPr>
          <w:p>
            <w:pPr>
              <w:pStyle w:val="12"/>
            </w:pPr>
            <w:r>
              <w:t>建立长效机制</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5、人武、党建团妇建设、纪检、宣传经费绩效目标表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13022925P00JXC419421A</w:t>
            </w:r>
          </w:p>
        </w:tc>
        <w:tc>
          <w:tcPr>
            <w:tcW w:w="2835" w:type="dxa"/>
            <w:vAlign w:val="center"/>
          </w:tcPr>
          <w:p>
            <w:pPr>
              <w:pStyle w:val="10"/>
            </w:pPr>
            <w:r>
              <w:t>项目名称</w:t>
            </w:r>
          </w:p>
        </w:tc>
        <w:tc>
          <w:tcPr>
            <w:tcW w:w="6095" w:type="dxa"/>
            <w:gridSpan w:val="3"/>
            <w:vAlign w:val="center"/>
          </w:tcPr>
          <w:p>
            <w:pPr>
              <w:pStyle w:val="12"/>
            </w:pPr>
            <w:r>
              <w:t>人武、党建团妇建设、纪检、宣传经费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人武、党团妇建设，纪检宣传工作经费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1.人武、党团妇建设、纪检、宣传经费的支出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党团妇建宣传工作量</w:t>
            </w:r>
          </w:p>
        </w:tc>
        <w:tc>
          <w:tcPr>
            <w:tcW w:w="5386" w:type="dxa"/>
            <w:vAlign w:val="center"/>
          </w:tcPr>
          <w:p>
            <w:pPr>
              <w:pStyle w:val="12"/>
            </w:pPr>
            <w:r>
              <w:t>党团妇建宣传工作量</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财政拨款保证率</w:t>
            </w:r>
          </w:p>
        </w:tc>
        <w:tc>
          <w:tcPr>
            <w:tcW w:w="5386" w:type="dxa"/>
            <w:vAlign w:val="center"/>
          </w:tcPr>
          <w:p>
            <w:pPr>
              <w:pStyle w:val="12"/>
            </w:pPr>
            <w:r>
              <w:t>财政拨款保证率</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各项工作完成及时性</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对周边经济环境的促进</w:t>
            </w:r>
          </w:p>
        </w:tc>
        <w:tc>
          <w:tcPr>
            <w:tcW w:w="5386" w:type="dxa"/>
            <w:vAlign w:val="center"/>
          </w:tcPr>
          <w:p>
            <w:pPr>
              <w:pStyle w:val="12"/>
            </w:pPr>
            <w:r>
              <w:t>对周边经济环境的促进</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对社会稳定的影响</w:t>
            </w:r>
          </w:p>
        </w:tc>
        <w:tc>
          <w:tcPr>
            <w:tcW w:w="5386" w:type="dxa"/>
            <w:vAlign w:val="center"/>
          </w:tcPr>
          <w:p>
            <w:pPr>
              <w:pStyle w:val="12"/>
            </w:pPr>
            <w:r>
              <w:t>对社会稳定的影响</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对生态环境的影响</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建立长效机制</w:t>
            </w:r>
          </w:p>
        </w:tc>
        <w:tc>
          <w:tcPr>
            <w:tcW w:w="5386" w:type="dxa"/>
            <w:vAlign w:val="center"/>
          </w:tcPr>
          <w:p>
            <w:pPr>
              <w:pStyle w:val="12"/>
            </w:pPr>
            <w:r>
              <w:t>建立长效机制</w:t>
            </w:r>
          </w:p>
        </w:tc>
        <w:tc>
          <w:tcPr>
            <w:tcW w:w="2268" w:type="dxa"/>
            <w:vAlign w:val="center"/>
          </w:tcPr>
          <w:p>
            <w:pPr>
              <w:pStyle w:val="12"/>
            </w:pPr>
            <w:r>
              <w:t>≥90百分比</w:t>
            </w:r>
          </w:p>
        </w:tc>
        <w:tc>
          <w:tcPr>
            <w:tcW w:w="1276"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6、土地卫片整治绩效目标表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13022925P00002910007C</w:t>
            </w:r>
          </w:p>
        </w:tc>
        <w:tc>
          <w:tcPr>
            <w:tcW w:w="2835" w:type="dxa"/>
            <w:vAlign w:val="center"/>
          </w:tcPr>
          <w:p>
            <w:pPr>
              <w:pStyle w:val="10"/>
            </w:pPr>
            <w:r>
              <w:t>项目名称</w:t>
            </w:r>
          </w:p>
        </w:tc>
        <w:tc>
          <w:tcPr>
            <w:tcW w:w="6095" w:type="dxa"/>
            <w:gridSpan w:val="3"/>
            <w:vAlign w:val="center"/>
          </w:tcPr>
          <w:p>
            <w:pPr>
              <w:pStyle w:val="12"/>
            </w:pPr>
            <w:r>
              <w:t>土地卫片整治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孟立珍信访支出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1.资金拨付到位后，按情况拨付给个人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孟立丽信访数量</w:t>
            </w:r>
          </w:p>
        </w:tc>
        <w:tc>
          <w:tcPr>
            <w:tcW w:w="5386" w:type="dxa"/>
            <w:vAlign w:val="center"/>
          </w:tcPr>
          <w:p>
            <w:pPr>
              <w:pStyle w:val="12"/>
            </w:pPr>
            <w:r>
              <w:t>孟立丽信访数量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协调信访事项化解率</w:t>
            </w:r>
          </w:p>
        </w:tc>
        <w:tc>
          <w:tcPr>
            <w:tcW w:w="5386" w:type="dxa"/>
            <w:vAlign w:val="center"/>
          </w:tcPr>
          <w:p>
            <w:pPr>
              <w:pStyle w:val="12"/>
            </w:pPr>
            <w:r>
              <w:t>协调信访事项化解率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 平息及时</w:t>
            </w:r>
          </w:p>
        </w:tc>
        <w:tc>
          <w:tcPr>
            <w:tcW w:w="5386" w:type="dxa"/>
            <w:vAlign w:val="center"/>
          </w:tcPr>
          <w:p>
            <w:pPr>
              <w:pStyle w:val="12"/>
            </w:pPr>
            <w:r>
              <w:t>信访事项 平息及时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涉及访事项投入成本</w:t>
            </w:r>
          </w:p>
        </w:tc>
        <w:tc>
          <w:tcPr>
            <w:tcW w:w="5386" w:type="dxa"/>
            <w:vAlign w:val="center"/>
          </w:tcPr>
          <w:p>
            <w:pPr>
              <w:pStyle w:val="12"/>
            </w:pPr>
            <w:r>
              <w:t>涉及访事项投入成本</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社会稳定情况</w:t>
            </w:r>
          </w:p>
        </w:tc>
        <w:tc>
          <w:tcPr>
            <w:tcW w:w="5386" w:type="dxa"/>
            <w:vAlign w:val="center"/>
          </w:tcPr>
          <w:p>
            <w:pPr>
              <w:pStyle w:val="12"/>
            </w:pPr>
            <w:r>
              <w:t>社会稳定情况</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推动社会稳定发展</w:t>
            </w:r>
          </w:p>
        </w:tc>
        <w:tc>
          <w:tcPr>
            <w:tcW w:w="5386" w:type="dxa"/>
            <w:vAlign w:val="center"/>
          </w:tcPr>
          <w:p>
            <w:pPr>
              <w:pStyle w:val="12"/>
            </w:pPr>
            <w:r>
              <w:t>推动社会稳定发展</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7、下坎村7户过渡费绩效目标表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13022925P00JXC4199714</w:t>
            </w:r>
          </w:p>
        </w:tc>
        <w:tc>
          <w:tcPr>
            <w:tcW w:w="2835" w:type="dxa"/>
            <w:vAlign w:val="center"/>
          </w:tcPr>
          <w:p>
            <w:pPr>
              <w:pStyle w:val="10"/>
            </w:pPr>
            <w:r>
              <w:t>项目名称</w:t>
            </w:r>
          </w:p>
        </w:tc>
        <w:tc>
          <w:tcPr>
            <w:tcW w:w="6095" w:type="dxa"/>
            <w:gridSpan w:val="3"/>
            <w:vAlign w:val="center"/>
          </w:tcPr>
          <w:p>
            <w:pPr>
              <w:pStyle w:val="12"/>
            </w:pPr>
            <w:r>
              <w:t>下坎村7户过渡费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126000.00</w:t>
            </w:r>
          </w:p>
        </w:tc>
        <w:tc>
          <w:tcPr>
            <w:tcW w:w="2835" w:type="dxa"/>
            <w:vAlign w:val="center"/>
          </w:tcPr>
          <w:p>
            <w:pPr>
              <w:pStyle w:val="10"/>
            </w:pPr>
            <w:r>
              <w:t>其中：财政    资金</w:t>
            </w:r>
          </w:p>
        </w:tc>
        <w:tc>
          <w:tcPr>
            <w:tcW w:w="2551" w:type="dxa"/>
            <w:vAlign w:val="center"/>
          </w:tcPr>
          <w:p>
            <w:pPr>
              <w:pStyle w:val="12"/>
            </w:pPr>
            <w:r>
              <w:t>126000.00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2025年下坎村7户过渡费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1.2025年到期后及时拨付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过渡费涉及户数</w:t>
            </w:r>
          </w:p>
        </w:tc>
        <w:tc>
          <w:tcPr>
            <w:tcW w:w="5386" w:type="dxa"/>
            <w:vAlign w:val="center"/>
          </w:tcPr>
          <w:p>
            <w:pPr>
              <w:pStyle w:val="12"/>
            </w:pPr>
            <w:r>
              <w:t>过渡费涉及户数</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完成工作质量</w:t>
            </w:r>
          </w:p>
        </w:tc>
        <w:tc>
          <w:tcPr>
            <w:tcW w:w="5386" w:type="dxa"/>
            <w:vAlign w:val="center"/>
          </w:tcPr>
          <w:p>
            <w:pPr>
              <w:pStyle w:val="12"/>
            </w:pPr>
            <w:r>
              <w:t>完成工作质量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工期完成时间</w:t>
            </w:r>
          </w:p>
        </w:tc>
        <w:tc>
          <w:tcPr>
            <w:tcW w:w="5386" w:type="dxa"/>
            <w:vAlign w:val="center"/>
          </w:tcPr>
          <w:p>
            <w:pPr>
              <w:pStyle w:val="12"/>
            </w:pPr>
            <w:r>
              <w:t>工期完成时间</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各项工作成本</w:t>
            </w:r>
          </w:p>
        </w:tc>
        <w:tc>
          <w:tcPr>
            <w:tcW w:w="5386" w:type="dxa"/>
            <w:vAlign w:val="center"/>
          </w:tcPr>
          <w:p>
            <w:pPr>
              <w:pStyle w:val="12"/>
            </w:pPr>
            <w:r>
              <w:t>各项工作成本</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拆迁对环境改善情况</w:t>
            </w:r>
          </w:p>
        </w:tc>
        <w:tc>
          <w:tcPr>
            <w:tcW w:w="5386" w:type="dxa"/>
            <w:vAlign w:val="center"/>
          </w:tcPr>
          <w:p>
            <w:pPr>
              <w:pStyle w:val="12"/>
            </w:pPr>
            <w:r>
              <w:t>拆迁对环境改善情况</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对社会环境的影响</w:t>
            </w:r>
          </w:p>
        </w:tc>
        <w:tc>
          <w:tcPr>
            <w:tcW w:w="5386" w:type="dxa"/>
            <w:vAlign w:val="center"/>
          </w:tcPr>
          <w:p>
            <w:pPr>
              <w:pStyle w:val="12"/>
            </w:pPr>
            <w:r>
              <w:t>对社会环境的影响</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建立长效机制</w:t>
            </w:r>
          </w:p>
        </w:tc>
        <w:tc>
          <w:tcPr>
            <w:tcW w:w="5386" w:type="dxa"/>
            <w:vAlign w:val="center"/>
          </w:tcPr>
          <w:p>
            <w:pPr>
              <w:pStyle w:val="12"/>
            </w:pPr>
            <w:r>
              <w:t>建立长效机制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13022925P00JXC419419B</w:t>
            </w:r>
          </w:p>
        </w:tc>
        <w:tc>
          <w:tcPr>
            <w:tcW w:w="2835" w:type="dxa"/>
            <w:vAlign w:val="center"/>
          </w:tcPr>
          <w:p>
            <w:pPr>
              <w:pStyle w:val="10"/>
            </w:pPr>
            <w:r>
              <w:t>项目名称</w:t>
            </w:r>
          </w:p>
        </w:tc>
        <w:tc>
          <w:tcPr>
            <w:tcW w:w="6095" w:type="dxa"/>
            <w:gridSpan w:val="3"/>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1.及时拨付人大工作站的各项支出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人大活动数量</w:t>
            </w:r>
          </w:p>
        </w:tc>
        <w:tc>
          <w:tcPr>
            <w:tcW w:w="5386" w:type="dxa"/>
            <w:vAlign w:val="center"/>
          </w:tcPr>
          <w:p>
            <w:pPr>
              <w:pStyle w:val="12"/>
            </w:pPr>
            <w:r>
              <w:t>人大活动数量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人大会议完成率</w:t>
            </w:r>
          </w:p>
        </w:tc>
        <w:tc>
          <w:tcPr>
            <w:tcW w:w="5386" w:type="dxa"/>
            <w:vAlign w:val="center"/>
          </w:tcPr>
          <w:p>
            <w:pPr>
              <w:pStyle w:val="12"/>
            </w:pPr>
            <w:r>
              <w:t>人大会议完成率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年内活动完成</w:t>
            </w:r>
          </w:p>
        </w:tc>
        <w:tc>
          <w:tcPr>
            <w:tcW w:w="5386" w:type="dxa"/>
            <w:vAlign w:val="center"/>
          </w:tcPr>
          <w:p>
            <w:pPr>
              <w:pStyle w:val="12"/>
            </w:pPr>
            <w:r>
              <w:t>年内活动完成</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新增经济效益</w:t>
            </w:r>
          </w:p>
        </w:tc>
        <w:tc>
          <w:tcPr>
            <w:tcW w:w="5386" w:type="dxa"/>
            <w:vAlign w:val="center"/>
          </w:tcPr>
          <w:p>
            <w:pPr>
              <w:pStyle w:val="12"/>
            </w:pPr>
            <w:r>
              <w:t>新增经济效益</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保障人大工作运转效率</w:t>
            </w:r>
          </w:p>
        </w:tc>
        <w:tc>
          <w:tcPr>
            <w:tcW w:w="5386" w:type="dxa"/>
            <w:vAlign w:val="center"/>
          </w:tcPr>
          <w:p>
            <w:pPr>
              <w:pStyle w:val="12"/>
            </w:pPr>
            <w:r>
              <w:t>保障人大工作运转效率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建全长效机制</w:t>
            </w:r>
          </w:p>
        </w:tc>
        <w:tc>
          <w:tcPr>
            <w:tcW w:w="5386" w:type="dxa"/>
            <w:vAlign w:val="center"/>
          </w:tcPr>
          <w:p>
            <w:pPr>
              <w:pStyle w:val="12"/>
            </w:pPr>
            <w:r>
              <w:t>建全长效机制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9、信访维稳1绩效目标表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13022925P00002910004H</w:t>
            </w:r>
          </w:p>
        </w:tc>
        <w:tc>
          <w:tcPr>
            <w:tcW w:w="2835" w:type="dxa"/>
            <w:vAlign w:val="center"/>
          </w:tcPr>
          <w:p>
            <w:pPr>
              <w:pStyle w:val="10"/>
            </w:pPr>
            <w:r>
              <w:t>项目名称</w:t>
            </w:r>
          </w:p>
        </w:tc>
        <w:tc>
          <w:tcPr>
            <w:tcW w:w="6095" w:type="dxa"/>
            <w:gridSpan w:val="3"/>
            <w:vAlign w:val="center"/>
          </w:tcPr>
          <w:p>
            <w:pPr>
              <w:pStyle w:val="12"/>
            </w:pPr>
            <w:r>
              <w:t>信访维稳1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31200.00</w:t>
            </w:r>
          </w:p>
        </w:tc>
        <w:tc>
          <w:tcPr>
            <w:tcW w:w="2835" w:type="dxa"/>
            <w:vAlign w:val="center"/>
          </w:tcPr>
          <w:p>
            <w:pPr>
              <w:pStyle w:val="10"/>
            </w:pPr>
            <w:r>
              <w:t>其中：财政    资金</w:t>
            </w:r>
          </w:p>
        </w:tc>
        <w:tc>
          <w:tcPr>
            <w:tcW w:w="2551" w:type="dxa"/>
            <w:vAlign w:val="center"/>
          </w:tcPr>
          <w:p>
            <w:pPr>
              <w:pStyle w:val="12"/>
            </w:pPr>
            <w:r>
              <w:t>31200.00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刘洪霞信访支出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刘洪霞信访数量</w:t>
            </w:r>
          </w:p>
        </w:tc>
        <w:tc>
          <w:tcPr>
            <w:tcW w:w="5386" w:type="dxa"/>
            <w:vAlign w:val="center"/>
          </w:tcPr>
          <w:p>
            <w:pPr>
              <w:pStyle w:val="12"/>
            </w:pPr>
            <w:r>
              <w:t>刘洪霞信访数量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协调信访事项化解率</w:t>
            </w:r>
          </w:p>
        </w:tc>
        <w:tc>
          <w:tcPr>
            <w:tcW w:w="5386" w:type="dxa"/>
            <w:vAlign w:val="center"/>
          </w:tcPr>
          <w:p>
            <w:pPr>
              <w:pStyle w:val="12"/>
            </w:pPr>
            <w:r>
              <w:t>协调信访事项化解率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信访事项平息及时</w:t>
            </w:r>
          </w:p>
        </w:tc>
        <w:tc>
          <w:tcPr>
            <w:tcW w:w="5386" w:type="dxa"/>
            <w:vAlign w:val="center"/>
          </w:tcPr>
          <w:p>
            <w:pPr>
              <w:pStyle w:val="12"/>
            </w:pPr>
            <w:r>
              <w:t>信访事项平息及时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涉访事项投入成本</w:t>
            </w:r>
          </w:p>
        </w:tc>
        <w:tc>
          <w:tcPr>
            <w:tcW w:w="5386" w:type="dxa"/>
            <w:vAlign w:val="center"/>
          </w:tcPr>
          <w:p>
            <w:pPr>
              <w:pStyle w:val="12"/>
            </w:pPr>
            <w:r>
              <w:t>涉访事项投入成本</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社会稳定提升情况</w:t>
            </w:r>
          </w:p>
        </w:tc>
        <w:tc>
          <w:tcPr>
            <w:tcW w:w="5386" w:type="dxa"/>
            <w:vAlign w:val="center"/>
          </w:tcPr>
          <w:p>
            <w:pPr>
              <w:pStyle w:val="12"/>
            </w:pPr>
            <w:r>
              <w:t>社会稳定提升情况</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通过实施刘洪霞信访经费促进社会稳定水平</w:t>
            </w:r>
          </w:p>
        </w:tc>
        <w:tc>
          <w:tcPr>
            <w:tcW w:w="5386" w:type="dxa"/>
            <w:vAlign w:val="center"/>
          </w:tcPr>
          <w:p>
            <w:pPr>
              <w:pStyle w:val="12"/>
            </w:pPr>
            <w:r>
              <w:t>通过实施刘洪霞信访经费促进社会稳定水平</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推动社会稳定发展</w:t>
            </w:r>
          </w:p>
        </w:tc>
        <w:tc>
          <w:tcPr>
            <w:tcW w:w="5386" w:type="dxa"/>
            <w:vAlign w:val="center"/>
          </w:tcPr>
          <w:p>
            <w:pPr>
              <w:pStyle w:val="12"/>
            </w:pPr>
            <w:r>
              <w:t>推动社会稳定发展</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10、信访维稳2绩效目标表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13022925P000029100055</w:t>
            </w:r>
          </w:p>
        </w:tc>
        <w:tc>
          <w:tcPr>
            <w:tcW w:w="2835" w:type="dxa"/>
            <w:vAlign w:val="center"/>
          </w:tcPr>
          <w:p>
            <w:pPr>
              <w:pStyle w:val="10"/>
            </w:pPr>
            <w:r>
              <w:t>项目名称</w:t>
            </w:r>
          </w:p>
        </w:tc>
        <w:tc>
          <w:tcPr>
            <w:tcW w:w="6095" w:type="dxa"/>
            <w:gridSpan w:val="3"/>
            <w:vAlign w:val="center"/>
          </w:tcPr>
          <w:p>
            <w:pPr>
              <w:pStyle w:val="12"/>
            </w:pPr>
            <w:r>
              <w:t>信访维稳2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250000.00</w:t>
            </w:r>
          </w:p>
        </w:tc>
        <w:tc>
          <w:tcPr>
            <w:tcW w:w="2835" w:type="dxa"/>
            <w:vAlign w:val="center"/>
          </w:tcPr>
          <w:p>
            <w:pPr>
              <w:pStyle w:val="10"/>
            </w:pPr>
            <w:r>
              <w:t>其中：财政    资金</w:t>
            </w:r>
          </w:p>
        </w:tc>
        <w:tc>
          <w:tcPr>
            <w:tcW w:w="2551" w:type="dxa"/>
            <w:vAlign w:val="center"/>
          </w:tcPr>
          <w:p>
            <w:pPr>
              <w:pStyle w:val="12"/>
            </w:pPr>
            <w:r>
              <w:t>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营房村葛长波信访支出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减少上访次数</w:t>
            </w:r>
          </w:p>
        </w:tc>
        <w:tc>
          <w:tcPr>
            <w:tcW w:w="5386" w:type="dxa"/>
            <w:vAlign w:val="center"/>
          </w:tcPr>
          <w:p>
            <w:pPr>
              <w:pStyle w:val="12"/>
            </w:pPr>
            <w:r>
              <w:t>减少上访次数</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化解上访事件</w:t>
            </w:r>
          </w:p>
        </w:tc>
        <w:tc>
          <w:tcPr>
            <w:tcW w:w="5386" w:type="dxa"/>
            <w:vAlign w:val="center"/>
          </w:tcPr>
          <w:p>
            <w:pPr>
              <w:pStyle w:val="12"/>
            </w:pPr>
            <w:r>
              <w:t>化解上访事件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及时处理上访问题</w:t>
            </w:r>
          </w:p>
        </w:tc>
        <w:tc>
          <w:tcPr>
            <w:tcW w:w="5386" w:type="dxa"/>
            <w:vAlign w:val="center"/>
          </w:tcPr>
          <w:p>
            <w:pPr>
              <w:pStyle w:val="12"/>
            </w:pPr>
            <w:r>
              <w:t>及时处理上访问题</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减少大的上访事件</w:t>
            </w:r>
          </w:p>
        </w:tc>
        <w:tc>
          <w:tcPr>
            <w:tcW w:w="5386" w:type="dxa"/>
            <w:vAlign w:val="center"/>
          </w:tcPr>
          <w:p>
            <w:pPr>
              <w:pStyle w:val="12"/>
            </w:pPr>
            <w:r>
              <w:t>减少大的上访事件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减少上访数量</w:t>
            </w:r>
          </w:p>
        </w:tc>
        <w:tc>
          <w:tcPr>
            <w:tcW w:w="5386" w:type="dxa"/>
            <w:vAlign w:val="center"/>
          </w:tcPr>
          <w:p>
            <w:pPr>
              <w:pStyle w:val="12"/>
            </w:pPr>
            <w:r>
              <w:t>减少上访数量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平息信访事件对周边群众的影响</w:t>
            </w:r>
          </w:p>
        </w:tc>
        <w:tc>
          <w:tcPr>
            <w:tcW w:w="5386" w:type="dxa"/>
            <w:vAlign w:val="center"/>
          </w:tcPr>
          <w:p>
            <w:pPr>
              <w:pStyle w:val="12"/>
            </w:pPr>
            <w:r>
              <w:t>平息信访事件对周边群众的影响</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信访人的生活得到基本保障</w:t>
            </w:r>
          </w:p>
        </w:tc>
        <w:tc>
          <w:tcPr>
            <w:tcW w:w="5386" w:type="dxa"/>
            <w:vAlign w:val="center"/>
          </w:tcPr>
          <w:p>
            <w:pPr>
              <w:pStyle w:val="12"/>
            </w:pPr>
            <w:r>
              <w:t>信访人的生活得到基本保障</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平息事件对社会稳定的影响</w:t>
            </w:r>
          </w:p>
        </w:tc>
        <w:tc>
          <w:tcPr>
            <w:tcW w:w="5386" w:type="dxa"/>
            <w:vAlign w:val="center"/>
          </w:tcPr>
          <w:p>
            <w:pPr>
              <w:pStyle w:val="12"/>
            </w:pPr>
            <w:r>
              <w:t>平息事件对社会稳定的影响</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11、信访维稳3绩效目标表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13022925P00002910006Q</w:t>
            </w:r>
          </w:p>
        </w:tc>
        <w:tc>
          <w:tcPr>
            <w:tcW w:w="2835" w:type="dxa"/>
            <w:vAlign w:val="center"/>
          </w:tcPr>
          <w:p>
            <w:pPr>
              <w:pStyle w:val="10"/>
            </w:pPr>
            <w:r>
              <w:t>项目名称</w:t>
            </w:r>
          </w:p>
        </w:tc>
        <w:tc>
          <w:tcPr>
            <w:tcW w:w="6095" w:type="dxa"/>
            <w:gridSpan w:val="3"/>
            <w:vAlign w:val="center"/>
          </w:tcPr>
          <w:p>
            <w:pPr>
              <w:pStyle w:val="12"/>
            </w:pPr>
            <w:r>
              <w:t>信访维稳3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327000.00</w:t>
            </w:r>
          </w:p>
        </w:tc>
        <w:tc>
          <w:tcPr>
            <w:tcW w:w="2835" w:type="dxa"/>
            <w:vAlign w:val="center"/>
          </w:tcPr>
          <w:p>
            <w:pPr>
              <w:pStyle w:val="10"/>
            </w:pPr>
            <w:r>
              <w:t>其中：财政    资金</w:t>
            </w:r>
          </w:p>
        </w:tc>
        <w:tc>
          <w:tcPr>
            <w:tcW w:w="2551" w:type="dxa"/>
            <w:vAlign w:val="center"/>
          </w:tcPr>
          <w:p>
            <w:pPr>
              <w:pStyle w:val="12"/>
            </w:pPr>
            <w:r>
              <w:t>327000.00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尹东红信访支出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1.资金拨付后，按时拨付给个人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尹东红信访数量</w:t>
            </w:r>
          </w:p>
        </w:tc>
        <w:tc>
          <w:tcPr>
            <w:tcW w:w="5386" w:type="dxa"/>
            <w:vAlign w:val="center"/>
          </w:tcPr>
          <w:p>
            <w:pPr>
              <w:pStyle w:val="12"/>
            </w:pPr>
            <w:r>
              <w:t>尹东红信访数量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协调信访事项化解率</w:t>
            </w:r>
          </w:p>
        </w:tc>
        <w:tc>
          <w:tcPr>
            <w:tcW w:w="5386" w:type="dxa"/>
            <w:vAlign w:val="center"/>
          </w:tcPr>
          <w:p>
            <w:pPr>
              <w:pStyle w:val="12"/>
            </w:pPr>
            <w:r>
              <w:t>协调信访事项化解率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 平息及时</w:t>
            </w:r>
          </w:p>
        </w:tc>
        <w:tc>
          <w:tcPr>
            <w:tcW w:w="5386" w:type="dxa"/>
            <w:vAlign w:val="center"/>
          </w:tcPr>
          <w:p>
            <w:pPr>
              <w:pStyle w:val="12"/>
            </w:pPr>
            <w:r>
              <w:t>信访事项 平息及时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涉及访事项投入成本</w:t>
            </w:r>
          </w:p>
        </w:tc>
        <w:tc>
          <w:tcPr>
            <w:tcW w:w="5386" w:type="dxa"/>
            <w:vAlign w:val="center"/>
          </w:tcPr>
          <w:p>
            <w:pPr>
              <w:pStyle w:val="12"/>
            </w:pPr>
            <w:r>
              <w:t>涉及访事项投入成本</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社会稳定情况</w:t>
            </w:r>
          </w:p>
        </w:tc>
        <w:tc>
          <w:tcPr>
            <w:tcW w:w="5386" w:type="dxa"/>
            <w:vAlign w:val="center"/>
          </w:tcPr>
          <w:p>
            <w:pPr>
              <w:pStyle w:val="12"/>
            </w:pPr>
            <w:r>
              <w:t>社会稳定情况</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推动社会稳定发展</w:t>
            </w:r>
          </w:p>
        </w:tc>
        <w:tc>
          <w:tcPr>
            <w:tcW w:w="5386" w:type="dxa"/>
            <w:vAlign w:val="center"/>
          </w:tcPr>
          <w:p>
            <w:pPr>
              <w:pStyle w:val="12"/>
            </w:pPr>
            <w:r>
              <w:t>推动社会稳定发展</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12、信访维稳4绩效目标表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13022925P00002910011J</w:t>
            </w:r>
          </w:p>
        </w:tc>
        <w:tc>
          <w:tcPr>
            <w:tcW w:w="2835" w:type="dxa"/>
            <w:vAlign w:val="center"/>
          </w:tcPr>
          <w:p>
            <w:pPr>
              <w:pStyle w:val="10"/>
            </w:pPr>
            <w:r>
              <w:t>项目名称</w:t>
            </w:r>
          </w:p>
        </w:tc>
        <w:tc>
          <w:tcPr>
            <w:tcW w:w="6095" w:type="dxa"/>
            <w:gridSpan w:val="3"/>
            <w:vAlign w:val="center"/>
          </w:tcPr>
          <w:p>
            <w:pPr>
              <w:pStyle w:val="12"/>
            </w:pPr>
            <w:r>
              <w:t>信访维稳4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700000.00</w:t>
            </w:r>
          </w:p>
        </w:tc>
        <w:tc>
          <w:tcPr>
            <w:tcW w:w="2835" w:type="dxa"/>
            <w:vAlign w:val="center"/>
          </w:tcPr>
          <w:p>
            <w:pPr>
              <w:pStyle w:val="10"/>
            </w:pPr>
            <w:r>
              <w:t>其中：财政    资金</w:t>
            </w:r>
          </w:p>
        </w:tc>
        <w:tc>
          <w:tcPr>
            <w:tcW w:w="2551" w:type="dxa"/>
            <w:vAlign w:val="center"/>
          </w:tcPr>
          <w:p>
            <w:pPr>
              <w:pStyle w:val="12"/>
            </w:pPr>
            <w:r>
              <w:t>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尹兆峰信访支出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1.资金到位后及时拨付给个人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尹兆峰信访事件数量</w:t>
            </w:r>
          </w:p>
        </w:tc>
        <w:tc>
          <w:tcPr>
            <w:tcW w:w="5386" w:type="dxa"/>
            <w:vAlign w:val="center"/>
          </w:tcPr>
          <w:p>
            <w:pPr>
              <w:pStyle w:val="12"/>
            </w:pPr>
            <w:r>
              <w:t>尹兆峰信访事件数量</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协调信访事项化解率</w:t>
            </w:r>
          </w:p>
        </w:tc>
        <w:tc>
          <w:tcPr>
            <w:tcW w:w="5386" w:type="dxa"/>
            <w:vAlign w:val="center"/>
          </w:tcPr>
          <w:p>
            <w:pPr>
              <w:pStyle w:val="12"/>
            </w:pPr>
            <w:r>
              <w:t>协调信访事项化解率</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信访事项平息及时</w:t>
            </w:r>
          </w:p>
        </w:tc>
        <w:tc>
          <w:tcPr>
            <w:tcW w:w="5386" w:type="dxa"/>
            <w:vAlign w:val="center"/>
          </w:tcPr>
          <w:p>
            <w:pPr>
              <w:pStyle w:val="12"/>
            </w:pPr>
            <w:r>
              <w:t>信访事项平息及时</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涉访事项投入成本</w:t>
            </w:r>
          </w:p>
        </w:tc>
        <w:tc>
          <w:tcPr>
            <w:tcW w:w="5386" w:type="dxa"/>
            <w:vAlign w:val="center"/>
          </w:tcPr>
          <w:p>
            <w:pPr>
              <w:pStyle w:val="12"/>
            </w:pPr>
            <w:r>
              <w:t>涉访事项投入成本</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社会稳定提升情况</w:t>
            </w:r>
          </w:p>
        </w:tc>
        <w:tc>
          <w:tcPr>
            <w:tcW w:w="5386" w:type="dxa"/>
            <w:vAlign w:val="center"/>
          </w:tcPr>
          <w:p>
            <w:pPr>
              <w:pStyle w:val="12"/>
            </w:pPr>
            <w:r>
              <w:t>社会稳定提升情况</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推动社会稳定发展</w:t>
            </w:r>
          </w:p>
        </w:tc>
        <w:tc>
          <w:tcPr>
            <w:tcW w:w="5386" w:type="dxa"/>
            <w:vAlign w:val="center"/>
          </w:tcPr>
          <w:p>
            <w:pPr>
              <w:pStyle w:val="12"/>
            </w:pPr>
            <w:r>
              <w:t>推动社会稳定发展</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≥90百分比</w:t>
            </w:r>
          </w:p>
        </w:tc>
        <w:tc>
          <w:tcPr>
            <w:tcW w:w="1276" w:type="dxa"/>
            <w:vAlign w:val="center"/>
          </w:tcPr>
          <w:p>
            <w:pPr>
              <w:pStyle w:val="12"/>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13、信访维稳5绩效目标表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13022925P000029100080</w:t>
            </w:r>
          </w:p>
        </w:tc>
        <w:tc>
          <w:tcPr>
            <w:tcW w:w="2835" w:type="dxa"/>
            <w:vAlign w:val="center"/>
          </w:tcPr>
          <w:p>
            <w:pPr>
              <w:pStyle w:val="10"/>
            </w:pPr>
            <w:r>
              <w:t>项目名称</w:t>
            </w:r>
          </w:p>
        </w:tc>
        <w:tc>
          <w:tcPr>
            <w:tcW w:w="6095" w:type="dxa"/>
            <w:gridSpan w:val="3"/>
            <w:vAlign w:val="center"/>
          </w:tcPr>
          <w:p>
            <w:pPr>
              <w:pStyle w:val="12"/>
            </w:pPr>
            <w:r>
              <w:t>信访维稳5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2978500.00</w:t>
            </w:r>
          </w:p>
        </w:tc>
        <w:tc>
          <w:tcPr>
            <w:tcW w:w="2835" w:type="dxa"/>
            <w:vAlign w:val="center"/>
          </w:tcPr>
          <w:p>
            <w:pPr>
              <w:pStyle w:val="10"/>
            </w:pPr>
            <w:r>
              <w:t>其中：财政    资金</w:t>
            </w:r>
          </w:p>
        </w:tc>
        <w:tc>
          <w:tcPr>
            <w:tcW w:w="2551" w:type="dxa"/>
            <w:vAlign w:val="center"/>
          </w:tcPr>
          <w:p>
            <w:pPr>
              <w:pStyle w:val="12"/>
            </w:pPr>
            <w:r>
              <w:t>2978500.00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洪潮铸造征收相关支出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1.资金到位后，视情况拨付给个人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铸造厂涉及征收面积</w:t>
            </w:r>
          </w:p>
        </w:tc>
        <w:tc>
          <w:tcPr>
            <w:tcW w:w="5386" w:type="dxa"/>
            <w:vAlign w:val="center"/>
          </w:tcPr>
          <w:p>
            <w:pPr>
              <w:pStyle w:val="12"/>
            </w:pPr>
            <w:r>
              <w:t>铸造厂涉及征收面积</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涉及相关征收费用</w:t>
            </w:r>
          </w:p>
        </w:tc>
        <w:tc>
          <w:tcPr>
            <w:tcW w:w="5386" w:type="dxa"/>
            <w:vAlign w:val="center"/>
          </w:tcPr>
          <w:p>
            <w:pPr>
              <w:pStyle w:val="12"/>
            </w:pPr>
            <w:r>
              <w:t>涉及相关征收费用</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及时完成征收任务</w:t>
            </w:r>
          </w:p>
        </w:tc>
        <w:tc>
          <w:tcPr>
            <w:tcW w:w="5386" w:type="dxa"/>
            <w:vAlign w:val="center"/>
          </w:tcPr>
          <w:p>
            <w:pPr>
              <w:pStyle w:val="12"/>
            </w:pPr>
            <w:r>
              <w:t>及时完成征收任务</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征收总成本</w:t>
            </w:r>
          </w:p>
        </w:tc>
        <w:tc>
          <w:tcPr>
            <w:tcW w:w="5386" w:type="dxa"/>
            <w:vAlign w:val="center"/>
          </w:tcPr>
          <w:p>
            <w:pPr>
              <w:pStyle w:val="12"/>
            </w:pPr>
            <w:r>
              <w:t>征收总成本</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征收后对周边经经济环境的影响</w:t>
            </w:r>
          </w:p>
        </w:tc>
        <w:tc>
          <w:tcPr>
            <w:tcW w:w="5386" w:type="dxa"/>
            <w:vAlign w:val="center"/>
          </w:tcPr>
          <w:p>
            <w:pPr>
              <w:pStyle w:val="12"/>
            </w:pPr>
            <w:r>
              <w:t>征收后对周边经经济环境的影响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征收后对社会稳定的影响</w:t>
            </w:r>
          </w:p>
        </w:tc>
        <w:tc>
          <w:tcPr>
            <w:tcW w:w="5386" w:type="dxa"/>
            <w:vAlign w:val="center"/>
          </w:tcPr>
          <w:p>
            <w:pPr>
              <w:pStyle w:val="12"/>
            </w:pPr>
            <w:r>
              <w:t>征收后对社会稳定的影响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征收后对生态环境的影响</w:t>
            </w:r>
          </w:p>
        </w:tc>
        <w:tc>
          <w:tcPr>
            <w:tcW w:w="5386" w:type="dxa"/>
            <w:vAlign w:val="center"/>
          </w:tcPr>
          <w:p>
            <w:pPr>
              <w:pStyle w:val="12"/>
            </w:pPr>
            <w:r>
              <w:t>征收后对生态环境的影响</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建立长效机制</w:t>
            </w:r>
          </w:p>
        </w:tc>
        <w:tc>
          <w:tcPr>
            <w:tcW w:w="5386" w:type="dxa"/>
            <w:vAlign w:val="center"/>
          </w:tcPr>
          <w:p>
            <w:pPr>
              <w:pStyle w:val="12"/>
            </w:pPr>
            <w:r>
              <w:t>建立长效机制</w:t>
            </w:r>
          </w:p>
        </w:tc>
        <w:tc>
          <w:tcPr>
            <w:tcW w:w="2268" w:type="dxa"/>
            <w:vAlign w:val="center"/>
          </w:tcPr>
          <w:p>
            <w:pPr>
              <w:pStyle w:val="12"/>
            </w:pPr>
            <w:r>
              <w:t>≥90百分比</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spacing w:before="0" w:after="0" w:line="240" w:lineRule="auto"/>
        <w:ind w:firstLine="0"/>
        <w:jc w:val="left"/>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8"/>
          <w:szCs w:val="28"/>
          <w:lang w:val="en-US" w:eastAsia="zh-CN"/>
        </w:rPr>
        <w:t>2025 年，玉田县玉田镇人民政府安排政府采购预算46000元。具体内容见下表：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1134" w:type="dxa"/>
            <w:vAlign w:val="center"/>
          </w:tcPr>
          <w:p>
            <w:pPr>
              <w:pStyle w:val="12"/>
            </w:pPr>
          </w:p>
        </w:tc>
        <w:tc>
          <w:tcPr>
            <w:tcW w:w="1134" w:type="dxa"/>
            <w:vAlign w:val="center"/>
          </w:tcPr>
          <w:p>
            <w:pPr>
              <w:pStyle w:val="12"/>
            </w:pPr>
          </w:p>
        </w:tc>
        <w:tc>
          <w:tcPr>
            <w:tcW w:w="709" w:type="dxa"/>
            <w:vAlign w:val="center"/>
          </w:tcPr>
          <w:p>
            <w:pPr>
              <w:pStyle w:val="13"/>
              <w:rPr>
                <w:rFonts w:hint="eastAsia" w:eastAsia="方正书宋_GBK"/>
                <w:lang w:eastAsia="zh-CN"/>
              </w:rPr>
            </w:pPr>
            <w:r>
              <w:rPr>
                <w:rFonts w:hint="eastAsia"/>
                <w:lang w:eastAsia="zh-CN"/>
              </w:rPr>
              <w:t>元</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玉田县玉田镇人民政府本级上年末固定资产金额为1694772.87元（详见下表）。本年度拟购置固定资产总额为30000.00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479001玉田县玉田镇人民政府本级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1694772.87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3027</w:t>
            </w:r>
          </w:p>
        </w:tc>
        <w:tc>
          <w:tcPr>
            <w:tcW w:w="2835" w:type="dxa"/>
            <w:vAlign w:val="center"/>
          </w:tcPr>
          <w:p>
            <w:pPr>
              <w:pStyle w:val="11"/>
            </w:pPr>
            <w:r>
              <w:t>1456972.87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3027</w:t>
            </w:r>
          </w:p>
        </w:tc>
        <w:tc>
          <w:tcPr>
            <w:tcW w:w="2835" w:type="dxa"/>
            <w:vAlign w:val="center"/>
          </w:tcPr>
          <w:p>
            <w:pPr>
              <w:pStyle w:val="11"/>
            </w:pPr>
            <w:r>
              <w:t>1456792.87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237800.00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773E2"/>
    <w:rsid w:val="5C94798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2025-01-20T18:36:00Z</dcterms:created>
  <dc:creator>Administrator</dc:creator>
  <cp:lastModifiedBy>曲成</cp:lastModifiedBy>
  <dcterms:modified xsi:type="dcterms:W3CDTF">2025-01-23T07:29:04Z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55D58CFA829A44FAB02958C46F5F1BD6</vt:lpwstr>
  </property>
</Properties>
</file>