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玉田县陈家铺镇人民政府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玉田县陈家铺镇人民政府编制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  <w:bookmarkStart w:id="8" w:name="_GoBack"/>
      <w:bookmarkEnd w:id="8"/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1.安保、环保、安全生产、应急、食药监管经费绩效目标表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3.河渠清理及河长制经费绩效目标表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4.人武、党团妇建设、纪检、宣传经费绩效目标表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5.乡镇人大工作站经费绩效目标表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第一部分 部门整体绩效目标</w:t>
      </w:r>
    </w:p>
    <w:p>
      <w:pPr>
        <w:pStyle w:val="8"/>
      </w:pPr>
      <w:r>
        <w:t>（一）总体绩效目标</w:t>
      </w:r>
    </w:p>
    <w:p>
      <w:pPr>
        <w:pStyle w:val="8"/>
      </w:pPr>
      <w:r>
        <w:t>2025年部门发展规划目标</w:t>
      </w:r>
    </w:p>
    <w:p>
      <w:pPr>
        <w:pStyle w:val="8"/>
      </w:pPr>
      <w:r>
        <w:t>根据县委、县政府2025年度发展计划目标，确定陈家铺乡人民政府2025年度发展规划目标：</w:t>
      </w:r>
    </w:p>
    <w:p>
      <w:pPr>
        <w:pStyle w:val="8"/>
      </w:pPr>
      <w:r>
        <w:t>1、加强对经济运行的宏观调控，充分发挥经济服务职能，协调和引领工、农、商各行业健康快速发展。</w:t>
      </w:r>
    </w:p>
    <w:p>
      <w:pPr>
        <w:pStyle w:val="8"/>
      </w:pPr>
      <w:r>
        <w:t>2、推动农村经济社会的发展和农村产业结构的调整；增强社会管理和公共服务职能，营造良好的发展环境，着力解决群众生产生活中的突出问题。</w:t>
      </w:r>
    </w:p>
    <w:p>
      <w:pPr>
        <w:pStyle w:val="8"/>
      </w:pPr>
      <w:r>
        <w:t>3、著力开展信访维稳工作，保障农村组织建设和正常运行，保障农民正常生产生活、增加农民收入。</w:t>
      </w:r>
    </w:p>
    <w:p>
      <w:pPr>
        <w:pStyle w:val="8"/>
      </w:pPr>
      <w:r>
        <w:t>4、开展脱贫攻坚工作，实现脱贫目标。</w:t>
      </w:r>
    </w:p>
    <w:p>
      <w:pPr>
        <w:pStyle w:val="8"/>
      </w:pPr>
      <w:r>
        <w:t>5、维护社会稳定，推进基层民主，保障农村社会和谐稳定。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（二）分项绩效目标</w:t>
      </w:r>
    </w:p>
    <w:p>
      <w:pPr>
        <w:pStyle w:val="9"/>
      </w:pPr>
    </w:p>
    <w:p>
      <w:pPr>
        <w:pStyle w:val="9"/>
      </w:pPr>
      <w:r>
        <w:t>人武、党团妇建设、纪检、宣传经费</w:t>
      </w:r>
    </w:p>
    <w:p>
      <w:pPr>
        <w:pStyle w:val="9"/>
      </w:pPr>
      <w:r>
        <w:t>产出指标；</w:t>
      </w:r>
    </w:p>
    <w:p>
      <w:pPr>
        <w:pStyle w:val="9"/>
      </w:pPr>
      <w:r>
        <w:t>数量指标；全年人武、党团妇建设、纪检、宣传经费覆盖情况≥95%；</w:t>
      </w:r>
    </w:p>
    <w:p>
      <w:pPr>
        <w:pStyle w:val="9"/>
      </w:pPr>
      <w:r>
        <w:t>质量指标；人武、党团妇建设、纪检、宣传经费完成率≥95%；</w:t>
      </w:r>
    </w:p>
    <w:p>
      <w:pPr>
        <w:pStyle w:val="9"/>
      </w:pPr>
      <w:r>
        <w:t>时效指标；按照要求和计划完成研究任务的项目≥95%；</w:t>
      </w:r>
    </w:p>
    <w:p>
      <w:pPr>
        <w:pStyle w:val="9"/>
      </w:pPr>
      <w:r>
        <w:t>成本指标;严格按预算资金执行≥95%;</w:t>
      </w:r>
    </w:p>
    <w:p>
      <w:pPr>
        <w:pStyle w:val="9"/>
      </w:pPr>
      <w:r>
        <w:t>效益指标；</w:t>
      </w:r>
    </w:p>
    <w:p>
      <w:pPr>
        <w:pStyle w:val="9"/>
      </w:pPr>
      <w:r>
        <w:t>经济效益指标：加强支出管理，提高资金的使用率≥95%；</w:t>
      </w:r>
    </w:p>
    <w:p>
      <w:pPr>
        <w:pStyle w:val="9"/>
      </w:pPr>
      <w:r>
        <w:t>社会效益指标；社会稳定水平；通过实施人武、党团妇建设、纪检、宣传经费促进社会稳定水平逐步提高。</w:t>
      </w:r>
    </w:p>
    <w:p>
      <w:pPr>
        <w:pStyle w:val="9"/>
      </w:pPr>
      <w:r>
        <w:t>生态效益指标；达到绿色产业标准；不对生态环境产生坏的影响，属于绿色生态产业。≥95%；</w:t>
      </w:r>
    </w:p>
    <w:p>
      <w:pPr>
        <w:pStyle w:val="9"/>
      </w:pPr>
      <w:r>
        <w:t>可持续影响指标；能够长期较好地开展人武、党团妇建设、纪检、宣传经费，长期满足人民群众对精神文化的需求。≥95%；</w:t>
      </w:r>
    </w:p>
    <w:p>
      <w:pPr>
        <w:pStyle w:val="9"/>
      </w:pPr>
      <w:r>
        <w:t>满意度指标；</w:t>
      </w:r>
    </w:p>
    <w:p>
      <w:pPr>
        <w:pStyle w:val="9"/>
      </w:pPr>
      <w:r>
        <w:t>服务对象满意度指标；服务对象满意度；接受人武、党团妇建设、纪检、宣传经费所提供服务的满意程度≥95%；</w:t>
      </w:r>
    </w:p>
    <w:p>
      <w:pPr>
        <w:pStyle w:val="9"/>
      </w:pPr>
    </w:p>
    <w:p>
      <w:pPr>
        <w:pStyle w:val="9"/>
      </w:pPr>
      <w:r>
        <w:t>安保、环保、安全生产、应急、食药监管经费</w:t>
      </w:r>
    </w:p>
    <w:p>
      <w:pPr>
        <w:pStyle w:val="9"/>
      </w:pPr>
      <w:r>
        <w:t>产出指标；</w:t>
      </w:r>
    </w:p>
    <w:p>
      <w:pPr>
        <w:pStyle w:val="9"/>
      </w:pPr>
      <w:r>
        <w:t>数量指标；全年安保、环保、安全生产、应急、食药监管完成项目数量情况≥95%；</w:t>
      </w:r>
    </w:p>
    <w:p>
      <w:pPr>
        <w:pStyle w:val="9"/>
      </w:pPr>
      <w:r>
        <w:t>质量指标；符合安保、环保、安全生产、应急、食药监管项目的质量要求≥95%；</w:t>
      </w:r>
    </w:p>
    <w:p>
      <w:pPr>
        <w:pStyle w:val="9"/>
      </w:pPr>
      <w:r>
        <w:t>时效指标；完成项目严格按预算执行≥95%；</w:t>
      </w:r>
    </w:p>
    <w:p>
      <w:pPr>
        <w:pStyle w:val="9"/>
      </w:pPr>
      <w:r>
        <w:t>成本指标；规范预算资金执行率≥95%；</w:t>
      </w:r>
    </w:p>
    <w:p>
      <w:pPr>
        <w:pStyle w:val="9"/>
      </w:pPr>
      <w:r>
        <w:t>效益指标；经济效益指标，拉动地方经济发展≥95%;</w:t>
      </w:r>
    </w:p>
    <w:p>
      <w:pPr>
        <w:pStyle w:val="9"/>
      </w:pPr>
      <w:r>
        <w:t>社会效益指标；社会稳定水平；通过实施安保、环保、安全生产、应急、食药监管，促进社会稳定水平逐步提高≥95%；</w:t>
      </w:r>
    </w:p>
    <w:p>
      <w:pPr>
        <w:pStyle w:val="9"/>
      </w:pPr>
      <w:r>
        <w:t>生态效益指标；达到绿色产业标准；不对生态环境产生坏的影响，属于绿色生态产业。≥95%；效益指标；</w:t>
      </w:r>
    </w:p>
    <w:p>
      <w:pPr>
        <w:pStyle w:val="9"/>
      </w:pPr>
      <w:r>
        <w:t>可持续影响指标；长期使用性；能够长期较好地开展安保、环保、安全生产、应急、食药监管，长期满足人民群众对安全、安保方面的需求。≥95%；</w:t>
      </w:r>
    </w:p>
    <w:p>
      <w:pPr>
        <w:pStyle w:val="9"/>
      </w:pPr>
      <w:r>
        <w:t>服务对象满意度指标；群众满意度；群众对安保、环保、安全生产、应急、食药监管的整体满意度≥95%；</w:t>
      </w:r>
    </w:p>
    <w:p>
      <w:pPr>
        <w:pStyle w:val="9"/>
      </w:pPr>
    </w:p>
    <w:p>
      <w:pPr>
        <w:pStyle w:val="9"/>
      </w:pPr>
      <w:r>
        <w:t>乡镇人大工作站经费</w:t>
      </w:r>
    </w:p>
    <w:p>
      <w:pPr>
        <w:pStyle w:val="9"/>
      </w:pPr>
      <w:r>
        <w:t>产出指标；</w:t>
      </w:r>
    </w:p>
    <w:p>
      <w:pPr>
        <w:pStyle w:val="9"/>
      </w:pPr>
      <w:r>
        <w:t>数量指标；全年乡镇人大工作站经费覆盖情况≥95%；</w:t>
      </w:r>
    </w:p>
    <w:p>
      <w:pPr>
        <w:pStyle w:val="9"/>
      </w:pPr>
      <w:r>
        <w:t>质量指标；乡镇人大工作站质量达标率≥95%；</w:t>
      </w:r>
    </w:p>
    <w:p>
      <w:pPr>
        <w:pStyle w:val="9"/>
      </w:pPr>
      <w:r>
        <w:t>时效指标；按照要求和计划完成研究任务的项目；</w:t>
      </w:r>
    </w:p>
    <w:p>
      <w:pPr>
        <w:pStyle w:val="9"/>
      </w:pPr>
      <w:r>
        <w:t>成本指标;严格按预算资金执行≥95%;</w:t>
      </w:r>
    </w:p>
    <w:p>
      <w:pPr>
        <w:pStyle w:val="9"/>
      </w:pPr>
      <w:r>
        <w:t>效益指标；经济效益指标：资金的使用率≥95%；</w:t>
      </w:r>
    </w:p>
    <w:p>
      <w:pPr>
        <w:pStyle w:val="9"/>
      </w:pPr>
      <w:r>
        <w:t>社会效益指标；社会稳定水平；通过实施乡镇人大工作站经费促进社会稳定水平逐步提高≥95%；</w:t>
      </w:r>
    </w:p>
    <w:p>
      <w:pPr>
        <w:pStyle w:val="9"/>
      </w:pPr>
      <w:r>
        <w:t>生态效益指标；达到绿色产业标准；不对生态环境产生坏的影响，属于绿色生态产业。≥95%；</w:t>
      </w:r>
    </w:p>
    <w:p>
      <w:pPr>
        <w:pStyle w:val="9"/>
      </w:pPr>
      <w:r>
        <w:t>可持续影响指标；长期使用性；能够长期较好地开展乡镇人大工作站经费，建立可持续性服务。</w:t>
      </w:r>
    </w:p>
    <w:p>
      <w:pPr>
        <w:pStyle w:val="9"/>
      </w:pPr>
      <w:r>
        <w:t>满意度指标；服务对象满意度指标；群众对乡镇人大工作站经费的整体满意度≥95%；</w:t>
      </w:r>
    </w:p>
    <w:p>
      <w:pPr>
        <w:pStyle w:val="9"/>
      </w:pPr>
    </w:p>
    <w:p>
      <w:pPr>
        <w:pStyle w:val="9"/>
      </w:pPr>
      <w:r>
        <w:t>河渠清理及河长制经费</w:t>
      </w:r>
    </w:p>
    <w:p>
      <w:pPr>
        <w:pStyle w:val="9"/>
      </w:pPr>
      <w:r>
        <w:t>产出指标；</w:t>
      </w:r>
    </w:p>
    <w:p>
      <w:pPr>
        <w:pStyle w:val="9"/>
      </w:pPr>
      <w:r>
        <w:t>数量指标；覆盖率；全年乡村振兴、人居环境整治、脱贫攻坚等覆盖情况≥95%；</w:t>
      </w:r>
    </w:p>
    <w:p>
      <w:pPr>
        <w:pStyle w:val="9"/>
      </w:pPr>
      <w:r>
        <w:t>质量指标；达到河渠清理的质量要求≥95%；</w:t>
      </w:r>
    </w:p>
    <w:p>
      <w:pPr>
        <w:pStyle w:val="9"/>
      </w:pPr>
      <w:r>
        <w:t>时效指标；完成率；按照要求和计划完成研究任务的项目≥95%；</w:t>
      </w:r>
    </w:p>
    <w:p>
      <w:pPr>
        <w:pStyle w:val="9"/>
      </w:pPr>
      <w:r>
        <w:t>成本指标；严格按预算资金执行≥95%;</w:t>
      </w:r>
    </w:p>
    <w:p>
      <w:pPr>
        <w:pStyle w:val="9"/>
      </w:pPr>
      <w:r>
        <w:t>效益指标；经济效益指标：经济效益指标：资金的使用率≥95%；</w:t>
      </w:r>
    </w:p>
    <w:p>
      <w:pPr>
        <w:pStyle w:val="9"/>
      </w:pPr>
      <w:r>
        <w:t>社会效益指标；社会稳定水平；通过河渠清理及河长制促进社会稳定水平逐步提高≥95%；</w:t>
      </w:r>
    </w:p>
    <w:p>
      <w:pPr>
        <w:pStyle w:val="9"/>
      </w:pPr>
      <w:r>
        <w:t>生态效益指标；达到绿色产业标准；不对生态环境产生坏的影响，属于绿色生态产业。≥95%；</w:t>
      </w:r>
    </w:p>
    <w:p>
      <w:pPr>
        <w:pStyle w:val="9"/>
      </w:pPr>
      <w:r>
        <w:t>可持续影响指标；能够长期较好地开展河渠清理及河长制，建立长效机制;</w:t>
      </w:r>
    </w:p>
    <w:p>
      <w:pPr>
        <w:pStyle w:val="9"/>
      </w:pPr>
      <w:r>
        <w:t>满意度指标；服务对象满意度指标；群众对河渠清理及河长制的整体满意度≥95%；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（三）工作保障措施</w:t>
      </w:r>
    </w:p>
    <w:p>
      <w:pPr>
        <w:pStyle w:val="10"/>
      </w:pPr>
      <w:r>
        <w:t>实现本年度发展规划目标的保障措施</w:t>
      </w:r>
    </w:p>
    <w:p>
      <w:pPr>
        <w:pStyle w:val="10"/>
      </w:pPr>
      <w:r>
        <w:t>为实现上述本年度的发展规划目标，我镇主要拟定了以下几项保障措施：1、加大农村人居环境整治工作，成立了领导小组，下设办公室，制定相关细则，全镇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1.安保、环保、安全生产、应急、食药监管经费绩效目标表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492001玉田县陈家铺镇人民政府本级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13022925P00JXC410261B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安保、环保、安全生产、应急、食药监管经费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保障安保、环保、安全生产、应急、食药监管经费正常运行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1.保障安保、环保、安全生产、应急、食药监管经费正常运行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符合安保、环保、安全生产、应急、食药监管质量要求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符合安保、环保、安全生产、应急、食药监管质量要求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产品安全工作支持率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产品安全工作支持率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2.残疾人保障金绩效目标表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492001玉田县陈家铺镇人民政府本级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13022925P00JXC4196330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用于残疾人保障金支出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1.保障残疾人保障金正常运行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残疾人保障金金额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残疾人保障金金额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≤73000元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项目时效性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不超过批复资金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3.河渠清理及河长制经费绩效目标表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492001玉田县陈家铺镇人民政府本级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13022925P000164100326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河渠清理及河长制经费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保障河渠清理及河长制经费正常运行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1.保障河渠清理及河长制经费正常运行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河渠清理数量及河长制经费支出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河渠清理数量及河长制经费支出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河渠清理质量及河长制经费运行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河渠清理质量及河长制经费运行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污染治理设施成本控制率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污染治理设施成本控制率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改善水环境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改善水环境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项目实施对公共服务水平提升情况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4.人武、党团妇建设、纪检、宣传经费绩效目标表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492001玉田县陈家铺镇人民政府本级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13022925P00JXC410266D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保障人武、党团妇建设、纪检、宣传经费正常运行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1.保障人武、党团妇建设、纪检、宣传经费正常运行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人武、党团妇建设、纪检、宣传经费支出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人武、党团妇建设、纪检、宣传经费支出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人武、党团妇建设、纪检、宣传经费完成率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人武、党团妇建设、纪检、宣传经费完成率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项目建设的经济性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项目建设的经济性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提升公共文化服务水平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提升公共文化服务水平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5.乡镇人大工作站经费绩效目标表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492001玉田县陈家铺镇人民政府本级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13022925P00JXC4102575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保障乡镇人大工作站经费正常运行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1.保障乡镇人大工作站经费正常运行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乡镇网点覆盖率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乡镇网点覆盖率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对各单位目标任务，工程质量，工程进度，安全生产，技术创新，文明施工，科学管理，廉政建设，营造氛围，组织领导进行考核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项目完成及时有效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项目完成及时有效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项目完成及时有效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项目完成及时有效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2025年年初预算安排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mYmViZDQ5NjkyN2IzOWU0ZGY0NGRjNmVhN2E1MmUifQ=="/>
    <w:docVar w:name="KSO_WPS_MARK_KEY" w:val="cee67de3-8c44-4d22-8350-887ba8c53559"/>
  </w:docVars>
  <w:rsids>
    <w:rsidRoot w:val="00000000"/>
    <w:rsid w:val="2CBD14B5"/>
    <w:rsid w:val="3E015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4451</Words>
  <Characters>5014</Characters>
  <TotalTime>3</TotalTime>
  <ScaleCrop>false</ScaleCrop>
  <LinksUpToDate>false</LinksUpToDate>
  <CharactersWithSpaces>5095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2025-01-17T18:17:00Z</dcterms:created>
  <dc:creator>Administrator</dc:creator>
  <cp:lastModifiedBy>Administrator</cp:lastModifiedBy>
  <dcterms:modified xsi:type="dcterms:W3CDTF">2025-01-23T06:03:25Z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5B9B8E1B6FA34061A2FACB66638FAB38_12</vt:lpwstr>
  </property>
</Properties>
</file>