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玉田县工业和信息化局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玉田县工业和信息化局编制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1.2025年原玉螺水泥有限公司职工医疗保险费绩效目标表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3.产业发展能力提升（企业家队伍建设）专项经费绩效目标表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4.环保驻企补贴及办公费绩效目标表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5.冀财建【2024】269号提前下达2025年省级中小企业发展专项资金绩效目标表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6.冀财建【2024】270号提前下达2025年工业设计中心奖励、企业购买工业设计服务和设计成果转化补助绩效目标表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7.冀财建【2024】270号县域特色产业群“领跑者”企业培育经费绩效目标表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8.维稳经费绩效目标表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9.新增规上企业工作经费绩效目标表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10.咨询费绩效目标表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坚持“创新驱动、链式推进、集群发展、龙头带动、数智赋能”的总体思路，深入实施“工业强基”工程，抓创新、育龙头、促转型、优生态，围绕4+2+3产业抓发展，以产业图谱制订做实工业规划，以产业规模倍增做强工业底盘，以产业龙头带动做活产业集群，以产业生态突破做优质量效益，以产业优势提升做精优势产业，以产业需求和目标、问题、结果为导向，推进主导产业做大做强、特色产业做精做优、新兴产业增势赋能，传统产业转型提升，推动产业链创新链深度融合，加速产业基础高级化和产业链现代化，培育壮大更多百亿级产业集群，打造更多更好的中国式现代化玉田工业场景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（一）支持工业转型升级</w:t>
      </w:r>
    </w:p>
    <w:p>
      <w:pPr>
        <w:pStyle w:val="插入文本样式-插入职责分类绩效目标文件"/>
      </w:pPr>
      <w:r>
        <w:t xml:space="preserve">绩效目标：采用新技术、新工艺、新材料改造提升全省传统产业水平，调整产业结构，转变经济发展方式。</w:t>
      </w:r>
    </w:p>
    <w:p>
      <w:pPr>
        <w:pStyle w:val="插入文本样式-插入职责分类绩效目标文件"/>
      </w:pPr>
      <w:r>
        <w:t xml:space="preserve">绩效指标：工业技术改造投资增速</w:t>
      </w:r>
    </w:p>
    <w:p>
      <w:pPr>
        <w:pStyle w:val="插入文本样式-插入职责分类绩效目标文件"/>
      </w:pPr>
      <w:r>
        <w:t xml:space="preserve">四新成果利用率</w:t>
      </w:r>
    </w:p>
    <w:p>
      <w:pPr>
        <w:pStyle w:val="插入文本样式-插入职责分类绩效目标文件"/>
      </w:pPr>
      <w:r>
        <w:t xml:space="preserve">技改项目实施数量</w:t>
      </w:r>
    </w:p>
    <w:p>
      <w:pPr>
        <w:pStyle w:val="插入文本样式-插入职责分类绩效目标文件"/>
      </w:pPr>
      <w:r>
        <w:t xml:space="preserve">工业技改项目管理信息系统覆盖率</w:t>
      </w:r>
    </w:p>
    <w:p>
      <w:pPr>
        <w:pStyle w:val="插入文本样式-插入职责分类绩效目标文件"/>
      </w:pPr>
      <w:r>
        <w:t xml:space="preserve">工业强基示范项目建设数量</w:t>
      </w:r>
    </w:p>
    <w:p>
      <w:pPr>
        <w:pStyle w:val="插入文本样式-插入职责分类绩效目标文件"/>
      </w:pPr>
      <w:r>
        <w:t xml:space="preserve">服务平台建设数量</w:t>
      </w:r>
    </w:p>
    <w:p>
      <w:pPr>
        <w:pStyle w:val="插入文本样式-插入职责分类绩效目标文件"/>
      </w:pPr>
      <w:r>
        <w:t xml:space="preserve">（二）协调全县信息安全保障体系建设</w:t>
      </w:r>
    </w:p>
    <w:p>
      <w:pPr>
        <w:pStyle w:val="插入文本样式-插入职责分类绩效目标文件"/>
      </w:pPr>
      <w:r>
        <w:t xml:space="preserve">绩效目标：完善工业协调推进机制，推进产业结构战略性调整和优化升级，走新型工业化道路。</w:t>
      </w:r>
    </w:p>
    <w:p>
      <w:pPr>
        <w:pStyle w:val="插入文本样式-插入职责分类绩效目标文件"/>
      </w:pPr>
      <w:r>
        <w:t xml:space="preserve">绩效指标：十大工业基地收入占规模以上企业工业总产值的比重</w:t>
      </w:r>
    </w:p>
    <w:p>
      <w:pPr>
        <w:pStyle w:val="插入文本样式-插入职责分类绩效目标文件"/>
      </w:pPr>
      <w:r>
        <w:t xml:space="preserve">考核完成率</w:t>
      </w:r>
    </w:p>
    <w:p>
      <w:pPr>
        <w:pStyle w:val="插入文本样式-插入职责分类绩效目标文件"/>
      </w:pPr>
      <w:r>
        <w:t xml:space="preserve">工业增加值增长率</w:t>
      </w:r>
    </w:p>
    <w:p>
      <w:pPr>
        <w:pStyle w:val="插入文本样式-插入职责分类绩效目标文件"/>
      </w:pPr>
      <w:r>
        <w:t xml:space="preserve">示范基地创建数量</w:t>
      </w:r>
    </w:p>
    <w:p>
      <w:pPr>
        <w:pStyle w:val="插入文本样式-插入职责分类绩效目标文件"/>
      </w:pPr>
      <w:r>
        <w:t xml:space="preserve">（三）促进中小企业和民营经济发展</w:t>
      </w:r>
    </w:p>
    <w:p>
      <w:pPr>
        <w:pStyle w:val="插入文本样式-插入职责分类绩效目标文件"/>
      </w:pPr>
      <w:r>
        <w:t xml:space="preserve">绩效目标：依法做好监控化学品日常监管和行政许可审批；完善工业和信息化政策法规体系建设；培育专业化人才，提升工业和信息化人才队伍水平。</w:t>
      </w:r>
    </w:p>
    <w:p>
      <w:pPr>
        <w:pStyle w:val="插入文本样式-插入职责分类绩效目标文件"/>
      </w:pPr>
      <w:r>
        <w:t xml:space="preserve">绩效指标：专家入库数量</w:t>
      </w:r>
    </w:p>
    <w:p>
      <w:pPr>
        <w:pStyle w:val="插入文本样式-插入职责分类绩效目标文件"/>
      </w:pPr>
      <w:r>
        <w:t xml:space="preserve">监管覆盖率</w:t>
      </w:r>
    </w:p>
    <w:p>
      <w:pPr>
        <w:pStyle w:val="插入文本样式-插入职责分类绩效目标文件"/>
      </w:pPr>
      <w:r>
        <w:t xml:space="preserve">职业技能鉴定人数</w:t>
      </w:r>
    </w:p>
    <w:p>
      <w:pPr>
        <w:pStyle w:val="插入文本样式-插入职责分类绩效目标文件"/>
      </w:pPr>
      <w:r>
        <w:t xml:space="preserve">培训人数</w:t>
      </w:r>
    </w:p>
    <w:p>
      <w:pPr>
        <w:pStyle w:val="插入文本样式-插入职责分类绩效目标文件"/>
      </w:pPr>
      <w:r>
        <w:t xml:space="preserve">（四）电力行业运行监管</w:t>
      </w:r>
    </w:p>
    <w:p>
      <w:pPr>
        <w:pStyle w:val="插入文本样式-插入职责分类绩效目标文件"/>
      </w:pPr>
      <w:r>
        <w:t xml:space="preserve">绩效目标：无线电安全保障高效、干扰查处及时、频率协调有力，保持全省优良电磁环境</w:t>
      </w:r>
    </w:p>
    <w:p>
      <w:pPr>
        <w:pStyle w:val="插入文本样式-插入职责分类绩效目标文件"/>
      </w:pPr>
      <w:r>
        <w:t xml:space="preserve">绩效指标：无线电安全率</w:t>
      </w:r>
    </w:p>
    <w:p>
      <w:pPr>
        <w:pStyle w:val="插入文本样式-插入职责分类绩效目标文件"/>
      </w:pPr>
      <w:r>
        <w:t xml:space="preserve">人员培训率</w:t>
      </w:r>
    </w:p>
    <w:p>
      <w:pPr>
        <w:pStyle w:val="插入文本样式-插入职责分类绩效目标文件"/>
      </w:pPr>
      <w:r>
        <w:t xml:space="preserve">重大活动保障率</w:t>
      </w:r>
    </w:p>
    <w:p>
      <w:pPr>
        <w:pStyle w:val="插入文本样式-插入职责分类绩效目标文件"/>
      </w:pPr>
      <w:r>
        <w:t xml:space="preserve">处置准确率</w:t>
      </w:r>
    </w:p>
    <w:p>
      <w:pPr>
        <w:pStyle w:val="插入文本样式-插入职责分类绩效目标文件"/>
      </w:pPr>
      <w:r>
        <w:t xml:space="preserve">违规行为查处</w:t>
      </w:r>
    </w:p>
    <w:p>
      <w:pPr>
        <w:pStyle w:val="插入文本样式-插入职责分类绩效目标文件"/>
      </w:pPr>
      <w:r>
        <w:t xml:space="preserve">（五）综合业务管理</w:t>
      </w:r>
    </w:p>
    <w:p>
      <w:pPr>
        <w:pStyle w:val="插入文本样式-插入职责分类绩效目标文件"/>
      </w:pPr>
      <w:r>
        <w:t xml:space="preserve">绩效目标：依法做好监控化学品日常监管和行政许可审批；完善工业和信息化政策法规体系建设；培育专业化人才，提升工业和信息化人才队伍水平。</w:t>
      </w:r>
    </w:p>
    <w:p>
      <w:pPr>
        <w:pStyle w:val="插入文本样式-插入职责分类绩效目标文件"/>
      </w:pPr>
      <w:r>
        <w:t xml:space="preserve">绩效指标：培训人数</w:t>
      </w:r>
    </w:p>
    <w:p>
      <w:pPr>
        <w:pStyle w:val="插入文本样式-插入职责分类绩效目标文件"/>
      </w:pPr>
      <w:r>
        <w:t xml:space="preserve">职业技能鉴定人数</w:t>
      </w:r>
    </w:p>
    <w:p>
      <w:pPr>
        <w:pStyle w:val="插入文本样式-插入职责分类绩效目标文件"/>
      </w:pPr>
      <w:r>
        <w:t xml:space="preserve">专家入库数量</w:t>
      </w:r>
    </w:p>
    <w:p>
      <w:pPr>
        <w:pStyle w:val="插入文本样式-插入职责分类绩效目标文件"/>
      </w:pPr>
      <w:r>
        <w:t xml:space="preserve">监管覆盖率</w:t>
      </w:r>
    </w:p>
    <w:p>
      <w:pPr>
        <w:pStyle w:val="插入文本样式-插入职责分类绩效目标文件"/>
      </w:pPr>
      <w:r>
        <w:t xml:space="preserve">（六）综合事务管理</w:t>
      </w:r>
    </w:p>
    <w:p>
      <w:pPr>
        <w:pStyle w:val="插入文本样式-插入职责分类绩效目标文件"/>
      </w:pPr>
      <w:r>
        <w:t xml:space="preserve">绩效目标：保障机关正常工作高效运转</w:t>
      </w:r>
    </w:p>
    <w:p>
      <w:pPr>
        <w:pStyle w:val="插入文本样式-插入职责分类绩效目标文件"/>
      </w:pPr>
      <w:r>
        <w:t xml:space="preserve">绩效指标：综合事务保障率</w:t>
      </w:r>
    </w:p>
    <w:p>
      <w:pPr>
        <w:pStyle w:val="插入文本样式-插入职责分类绩效目标文件"/>
      </w:pPr>
      <w:r>
        <w:t xml:space="preserve">（七）遗留问题事务管理</w:t>
      </w:r>
    </w:p>
    <w:p>
      <w:pPr>
        <w:pStyle w:val="插入文本样式-插入职责分类绩效目标文件"/>
      </w:pPr>
      <w:r>
        <w:t xml:space="preserve">绩效目标：妥善处理原县办破产、改制企业遗留问题，维护社会稳定。</w:t>
      </w:r>
    </w:p>
    <w:p>
      <w:pPr>
        <w:pStyle w:val="插入文本样式-插入职责分类绩效目标文件"/>
      </w:pPr>
      <w:r>
        <w:t xml:space="preserve">绩效指标：处置准确率</w:t>
      </w:r>
    </w:p>
    <w:p>
      <w:pPr>
        <w:pStyle w:val="插入文本样式-插入职责分类绩效目标文件"/>
      </w:pPr>
      <w:r>
        <w:t xml:space="preserve">重大活动保障率</w:t>
      </w:r>
    </w:p>
    <w:p>
      <w:pPr>
        <w:pStyle w:val="插入文本样式-插入职责分类绩效目标文件"/>
      </w:pPr>
      <w:r>
        <w:t xml:space="preserve">违规行为查处</w:t>
      </w:r>
    </w:p>
    <w:p>
      <w:pPr>
        <w:pStyle w:val="插入文本样式-插入职责分类绩效目标文件"/>
      </w:pPr>
      <w:r>
        <w:t xml:space="preserve">人员培训率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完善制度建设、加强支出管理、加强绩效运行监控、做好绩效自评、规范财务资产管理、加强内部监督。加强宣传培训调研等。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1.2025年原玉螺水泥有限公司职工医疗保险费绩效目标表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13022925P004R2810705C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2025年原玉螺水泥有限公司职工医疗保险费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235000.00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235000.00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2025年原玉螺水泥有限公司职工医疗保险费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1.有效化解信访矛盾，提高政府公信力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有效化解信访矛盾率（%）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有效化解信访矛盾率（%）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化解矛盾数量占信访案件百分比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信访群体性事件和恶性案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信访群体性事件和恶性案件数量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≤5起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每年发生的信访群体性事件和恶性案件数量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信访事项受理及时率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信访事项受理及时率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及时处理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信访事项及时受理，防止恶性事件发生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经费保证能力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经费保证能力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充足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及时申请，保证资金充足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信访投诉办结率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信访投诉办结率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≥70百分比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信访信访投诉办结率大于等于70%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群众投诉下降率（%）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群众投诉下降率大于等于20%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准确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处理结果百分比准确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提升政府公信力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提升政府公信力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提升政府在群众中的公信力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通过问卷调查，满意和较满意的对象占所有调查对象的比例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通过问卷调查，满意和较满意的对象占所有调查对象的比例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13022925P00JXC4196286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24000.00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残疾人保障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1.实现社会公平，促进社会发展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补助资金支付率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补助资金到位后，及时支付相关人员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2.4万元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资金到位情况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工作按时完成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项目预算控制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项目预算控制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预算范围内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预算范围内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促进经济发展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保证相关工作开展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提高生态效益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形成明显示范带动作用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服务对象满意度达到95%遗属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3.产业发展能力提升（企业家队伍建设）专项经费绩效目标表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13022925P00JXC4103073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产业发展能力提升（企业家队伍建设）专项经费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用于产业发展能力提升及企业家队伍建设相关经费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1.促进产业发展能力提升、促进本县经济发展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培训出勤率（%）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培训出勤率（%）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培训完成率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实际成本超概（预）算比率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实际成本超概（预）算比率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实际成本超概（预）算比率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积极评价率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积极评价率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积极评价率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积极作用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加强绿色生产方式的宣传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保证人才队伍可持续建设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保证人才队伍可持续建设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积极作用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人才队伍可持续发展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4.环保驻企补贴及办公费绩效目标表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13022925P00JXC410313G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环保驻企补贴及办公费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环保驻企人员补贴及办公费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1.完成2025年环保督查驻企任务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驻企补贴专款专用情况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业务工作完成率（%）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驻企工作完成情况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驻企人员及时到岗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差旅补助标准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按标准执行率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按标准执行率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积极评价率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积极评价率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积极评价率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5.冀财建【2024】269号提前下达2025年省级中小企业发展专项资金绩效目标表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13022925P00020410001B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冀财建【2024】269号提前下达2025年省级中小企业发展专项资金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1023000.00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1023000.00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2025年省级中小企业发展专项资金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1.加大专精特新中小企业培育力度，完善梯度培育体系，强化企业激励约束，提升财政政策效能，带动更多中小企业走“专精特新”发展道路。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支持企业数量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支持重点“小巨人”企业数量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以文件为准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上级下达文件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资金执行率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资金执行率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资金全部下达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按照上级要求按时发放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不超出预算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控制在预算成本内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推动地区经济发展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地方培育扶持情况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地方培育扶持情况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以工业和信息化部审核并备案的实施情况为准，主要包括围绕培育体系建设融资服务、创新创业服务、人才智力服务、中小企业融通发展、地方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地方培育扶持情况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是否达到绿色产业标准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按时完成中小企业监测评价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通过问卷调查，满意和较满意的对象占所有调查对象的比例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通过问卷调查，满意和较满意的对象占所有调查对象的比例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6.冀财建【2024】270号提前下达2025年工业设计中心奖励、企业购买工业设计服务和设计成果转化补助绩效目标表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13022925P000207100020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冀财建【2024】270号提前下达2025年工业设计中心奖励、企业购买工业设计服务和设计成果转化补助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698300.00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698300.00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工业设计中心奖励、企业购买工业设计服务和设计成果转化补助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1.通过项目实施，促进设计合作，推动产品升级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支持企业数量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支持购买工业设计服务项目数量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以文件为准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上级下达文件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项目达到支持条件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资助购买工业设计服务项目达到支持条件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达到支持条件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上级下达文件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按照上级要求时限完成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资助标准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购买工业设计服务项目资助标准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以上级文件为准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上级下达文件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推动地区经济发展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工业设计的社会影响力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影响力扩大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对企业影响力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是否达到绿色产业标准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按时完成中小企业监测评价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通过问卷调查，满意和较满意的对象占所有调查对象的比例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通过问卷调查，满意和较满意的对象占所有调查对象的比例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7.冀财建【2024】270号县域特色产业群“领跑者”企业培育经费绩效目标表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13022925P00020710001C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冀财建【2024】270号县域特色产业群“领跑者”企业培育经费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618000.00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618000.00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县域特色产业群“领跑者”企业培育经费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1.提升集群企业产品合格率和技术质量水平，提升集群“领跑者”企业产业基础代化水平，增强企业市场竞争力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支持企业数量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获得资金支持企业的个数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以文件为准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上级下达文件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促进集群发展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在引进龙头企业带动下集群发展情况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集群营业收入进一步增强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集群营业收入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按照时限要求完成工作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资金支持额度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特色产业集群企业创新发展项目资金支持额度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按照购置研发、检测、试验等设备投入的20%比例计算，最高补助200万元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上级下达文件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推动地区经济发展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集群企业、“领跑者”企业和5门类龙头企业发展壮大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集群企业、“领跑者”企业和5门类龙头企业市场竞争力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进一步增强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地方培育扶持情况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是否达到绿色产业标准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监测、评价完成率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按时完成中小企业监测评价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通过问卷调查，满意和较满意的对象占所有调查对象的比例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通过问卷调查，满意和较满意的对象占所有调查对象的比例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8.维稳经费绩效目标表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13022925P00004010009Y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维稳经费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用于我县破产改制企业人员的信访维稳和涉军人员的信访维稳。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1.保障我县破产改制企业人员的信访维稳和涉军人员的信访维稳。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确保资金来源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按预算资金完成率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提高工作效率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提高工作效率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提高工作效率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积极评价率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积极评价率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对工作的积极评价率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提高机关保障服务能力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提升维稳效果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对维稳工作满意度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9.新增规上企业工作经费绩效目标表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13022925P00020710003K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新增规上企业工作经费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用于培养新增规模以上工业企业工作经费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1.带动更多企业入统，促进本县经济发展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扶持企业数量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扶持企业数量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扶持企业数量达到年初计划的98%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资金全部到位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资金全部准时发放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预算资金控制数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预算资金控制数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资金使用情况不得超出预算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成本利用情况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保障服务水平率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保障服务水平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结果准确性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结果准确率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≥99百分比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结果准确率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可持续影响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相关企业满意度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10.咨询费绩效目标表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436001玉田县工业和信息化局本级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13022925P00JXC410303L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咨询费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用于政策方案、高科技项目、信访工作、破产改制企业遗留问题、重点行业企业产能评估专家咨询费用。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1.提升机关业务能力及服务水平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咨询费使用情况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是否专款专用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工作任务完成及时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项目资金支付情况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服务效率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有利于维护社会稳定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有利于维护社会稳定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持续服务率(%)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持续服务率(%)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提高机关服务能力和服务水平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2025-01-19T15:10:00Z</dcterms:created>
  <dcterms:modified xsi:type="dcterms:W3CDTF">2025-01-19T15:10:00Z</dcterms:modified>
</cp:coreProperties>
</file>