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975玉田县供销社</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2579625.70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2479625.70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2579625.70</w:t>
            </w:r>
          </w:p>
        </w:tc>
        <w:tc>
          <w:tcPr>
            <w:tcW w:w="4535" w:type="dxa"/>
            <w:vAlign w:val="center"/>
          </w:tcPr>
          <w:p>
            <w:pPr>
              <w:pStyle w:val="15"/>
            </w:pPr>
            <w:r>
              <w:t>本年支出合计</w:t>
            </w:r>
          </w:p>
        </w:tc>
        <w:tc>
          <w:tcPr>
            <w:tcW w:w="2126" w:type="dxa"/>
            <w:vAlign w:val="center"/>
          </w:tcPr>
          <w:p>
            <w:pPr>
              <w:pStyle w:val="16"/>
            </w:pPr>
            <w:r>
              <w:t>2579625.70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2579625.70</w:t>
            </w:r>
          </w:p>
        </w:tc>
        <w:tc>
          <w:tcPr>
            <w:tcW w:w="4535" w:type="dxa"/>
            <w:vAlign w:val="center"/>
          </w:tcPr>
          <w:p>
            <w:pPr>
              <w:pStyle w:val="15"/>
            </w:pPr>
            <w:r>
              <w:t>支出总计</w:t>
            </w:r>
          </w:p>
        </w:tc>
        <w:tc>
          <w:tcPr>
            <w:tcW w:w="2126" w:type="dxa"/>
            <w:vAlign w:val="center"/>
          </w:tcPr>
          <w:p>
            <w:pPr>
              <w:pStyle w:val="16"/>
            </w:pPr>
            <w:r>
              <w:t>2579625.70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975玉田县供销社</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2579625.70</w:t>
            </w:r>
          </w:p>
        </w:tc>
        <w:tc>
          <w:tcPr>
            <w:tcW w:w="1134" w:type="dxa"/>
            <w:vAlign w:val="center"/>
          </w:tcPr>
          <w:p>
            <w:pPr>
              <w:pStyle w:val="16"/>
            </w:pPr>
            <w:r>
              <w:t>2579625.70</w:t>
            </w:r>
          </w:p>
        </w:tc>
        <w:tc>
          <w:tcPr>
            <w:tcW w:w="1134" w:type="dxa"/>
            <w:vAlign w:val="center"/>
          </w:tcPr>
          <w:p>
            <w:pPr>
              <w:pStyle w:val="16"/>
            </w:pPr>
            <w:r>
              <w:t>2579625.70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21602</w:t>
            </w:r>
          </w:p>
        </w:tc>
        <w:tc>
          <w:tcPr>
            <w:tcW w:w="1559" w:type="dxa"/>
            <w:vAlign w:val="center"/>
          </w:tcPr>
          <w:p>
            <w:pPr>
              <w:pStyle w:val="13"/>
            </w:pPr>
            <w:r>
              <w:t>商业流通事务</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2160201</w:t>
            </w:r>
          </w:p>
        </w:tc>
        <w:tc>
          <w:tcPr>
            <w:tcW w:w="1559" w:type="dxa"/>
            <w:vAlign w:val="center"/>
          </w:tcPr>
          <w:p>
            <w:pPr>
              <w:pStyle w:val="13"/>
            </w:pPr>
            <w:r>
              <w:t>行政运行</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r>
              <w:t>2479625.70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22205</w:t>
            </w:r>
          </w:p>
        </w:tc>
        <w:tc>
          <w:tcPr>
            <w:tcW w:w="1559" w:type="dxa"/>
            <w:vAlign w:val="center"/>
          </w:tcPr>
          <w:p>
            <w:pPr>
              <w:pStyle w:val="13"/>
            </w:pPr>
            <w:r>
              <w:t>重要商品储备</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2220509</w:t>
            </w:r>
          </w:p>
        </w:tc>
        <w:tc>
          <w:tcPr>
            <w:tcW w:w="1559" w:type="dxa"/>
            <w:vAlign w:val="center"/>
          </w:tcPr>
          <w:p>
            <w:pPr>
              <w:pStyle w:val="13"/>
            </w:pPr>
            <w:r>
              <w:t>食盐储备</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2579625.70</w:t>
            </w:r>
          </w:p>
        </w:tc>
        <w:tc>
          <w:tcPr>
            <w:tcW w:w="1361" w:type="dxa"/>
            <w:vAlign w:val="center"/>
          </w:tcPr>
          <w:p>
            <w:pPr>
              <w:pStyle w:val="16"/>
            </w:pPr>
            <w:r>
              <w:t>2479625.70</w:t>
            </w:r>
          </w:p>
        </w:tc>
        <w:tc>
          <w:tcPr>
            <w:tcW w:w="1361" w:type="dxa"/>
            <w:vAlign w:val="center"/>
          </w:tcPr>
          <w:p>
            <w:pPr>
              <w:pStyle w:val="16"/>
            </w:pPr>
            <w:r>
              <w:t>100000.00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2479625.70</w:t>
            </w:r>
          </w:p>
        </w:tc>
        <w:tc>
          <w:tcPr>
            <w:tcW w:w="1361" w:type="dxa"/>
            <w:vAlign w:val="center"/>
          </w:tcPr>
          <w:p>
            <w:pPr>
              <w:pStyle w:val="12"/>
            </w:pPr>
            <w:r>
              <w:t>2479625.70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21602</w:t>
            </w:r>
          </w:p>
        </w:tc>
        <w:tc>
          <w:tcPr>
            <w:tcW w:w="4535" w:type="dxa"/>
            <w:vAlign w:val="center"/>
          </w:tcPr>
          <w:p>
            <w:pPr>
              <w:pStyle w:val="13"/>
            </w:pPr>
            <w:r>
              <w:t>商业流通事务</w:t>
            </w:r>
          </w:p>
        </w:tc>
        <w:tc>
          <w:tcPr>
            <w:tcW w:w="1361" w:type="dxa"/>
            <w:vAlign w:val="center"/>
          </w:tcPr>
          <w:p>
            <w:pPr>
              <w:pStyle w:val="12"/>
            </w:pPr>
            <w:r>
              <w:t>2479625.70</w:t>
            </w:r>
          </w:p>
        </w:tc>
        <w:tc>
          <w:tcPr>
            <w:tcW w:w="1361" w:type="dxa"/>
            <w:vAlign w:val="center"/>
          </w:tcPr>
          <w:p>
            <w:pPr>
              <w:pStyle w:val="12"/>
            </w:pPr>
            <w:r>
              <w:t>2479625.70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2160201</w:t>
            </w:r>
          </w:p>
        </w:tc>
        <w:tc>
          <w:tcPr>
            <w:tcW w:w="4535" w:type="dxa"/>
            <w:vAlign w:val="center"/>
          </w:tcPr>
          <w:p>
            <w:pPr>
              <w:pStyle w:val="13"/>
            </w:pPr>
            <w:r>
              <w:t>行政运行</w:t>
            </w:r>
          </w:p>
        </w:tc>
        <w:tc>
          <w:tcPr>
            <w:tcW w:w="1361" w:type="dxa"/>
            <w:vAlign w:val="center"/>
          </w:tcPr>
          <w:p>
            <w:pPr>
              <w:pStyle w:val="12"/>
            </w:pPr>
            <w:r>
              <w:t>2479625.70</w:t>
            </w:r>
          </w:p>
        </w:tc>
        <w:tc>
          <w:tcPr>
            <w:tcW w:w="1361" w:type="dxa"/>
            <w:vAlign w:val="center"/>
          </w:tcPr>
          <w:p>
            <w:pPr>
              <w:pStyle w:val="12"/>
            </w:pPr>
            <w:r>
              <w:t>2479625.70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22205</w:t>
            </w:r>
          </w:p>
        </w:tc>
        <w:tc>
          <w:tcPr>
            <w:tcW w:w="4535" w:type="dxa"/>
            <w:vAlign w:val="center"/>
          </w:tcPr>
          <w:p>
            <w:pPr>
              <w:pStyle w:val="13"/>
            </w:pPr>
            <w:r>
              <w:t>重要商品储备</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2220509</w:t>
            </w:r>
          </w:p>
        </w:tc>
        <w:tc>
          <w:tcPr>
            <w:tcW w:w="4535" w:type="dxa"/>
            <w:vAlign w:val="center"/>
          </w:tcPr>
          <w:p>
            <w:pPr>
              <w:pStyle w:val="13"/>
            </w:pPr>
            <w:r>
              <w:t>食盐储备</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2579625.70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2479625.70</w:t>
            </w:r>
          </w:p>
        </w:tc>
        <w:tc>
          <w:tcPr>
            <w:tcW w:w="1474" w:type="dxa"/>
            <w:vAlign w:val="center"/>
          </w:tcPr>
          <w:p>
            <w:pPr>
              <w:pStyle w:val="12"/>
            </w:pPr>
            <w:r>
              <w:t>2479625.70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100000.00</w:t>
            </w:r>
          </w:p>
        </w:tc>
        <w:tc>
          <w:tcPr>
            <w:tcW w:w="1474" w:type="dxa"/>
            <w:vAlign w:val="center"/>
          </w:tcPr>
          <w:p>
            <w:pPr>
              <w:pStyle w:val="12"/>
            </w:pPr>
            <w:r>
              <w:t>100000.00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2579625.70</w:t>
            </w:r>
          </w:p>
        </w:tc>
        <w:tc>
          <w:tcPr>
            <w:tcW w:w="3402" w:type="dxa"/>
            <w:vAlign w:val="center"/>
          </w:tcPr>
          <w:p>
            <w:pPr>
              <w:pStyle w:val="15"/>
            </w:pPr>
            <w:r>
              <w:t>本年支出合计</w:t>
            </w:r>
          </w:p>
        </w:tc>
        <w:tc>
          <w:tcPr>
            <w:tcW w:w="1474" w:type="dxa"/>
            <w:vAlign w:val="center"/>
          </w:tcPr>
          <w:p>
            <w:pPr>
              <w:pStyle w:val="16"/>
            </w:pPr>
            <w:r>
              <w:t>2579625.70</w:t>
            </w:r>
          </w:p>
        </w:tc>
        <w:tc>
          <w:tcPr>
            <w:tcW w:w="1474" w:type="dxa"/>
            <w:vAlign w:val="center"/>
          </w:tcPr>
          <w:p>
            <w:pPr>
              <w:pStyle w:val="16"/>
            </w:pPr>
            <w:r>
              <w:t>2579625.70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2579625.70</w:t>
            </w:r>
          </w:p>
        </w:tc>
        <w:tc>
          <w:tcPr>
            <w:tcW w:w="3402" w:type="dxa"/>
            <w:vAlign w:val="center"/>
          </w:tcPr>
          <w:p>
            <w:pPr>
              <w:pStyle w:val="15"/>
            </w:pPr>
            <w:r>
              <w:t>支出总计</w:t>
            </w:r>
          </w:p>
        </w:tc>
        <w:tc>
          <w:tcPr>
            <w:tcW w:w="1474" w:type="dxa"/>
            <w:vAlign w:val="center"/>
          </w:tcPr>
          <w:p>
            <w:pPr>
              <w:pStyle w:val="16"/>
            </w:pPr>
            <w:r>
              <w:t>2579625.70</w:t>
            </w:r>
          </w:p>
        </w:tc>
        <w:tc>
          <w:tcPr>
            <w:tcW w:w="1474" w:type="dxa"/>
            <w:vAlign w:val="center"/>
          </w:tcPr>
          <w:p>
            <w:pPr>
              <w:pStyle w:val="16"/>
            </w:pPr>
            <w:r>
              <w:t>2579625.70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2579625.70</w:t>
            </w:r>
          </w:p>
        </w:tc>
        <w:tc>
          <w:tcPr>
            <w:tcW w:w="2551" w:type="dxa"/>
            <w:vAlign w:val="center"/>
          </w:tcPr>
          <w:p>
            <w:pPr>
              <w:pStyle w:val="16"/>
            </w:pPr>
            <w:r>
              <w:t>2479625.70</w:t>
            </w:r>
          </w:p>
        </w:tc>
        <w:tc>
          <w:tcPr>
            <w:tcW w:w="2551" w:type="dxa"/>
            <w:vAlign w:val="center"/>
          </w:tcPr>
          <w:p>
            <w:pPr>
              <w:pStyle w:val="16"/>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2479625.70</w:t>
            </w:r>
          </w:p>
        </w:tc>
        <w:tc>
          <w:tcPr>
            <w:tcW w:w="2551" w:type="dxa"/>
            <w:vAlign w:val="center"/>
          </w:tcPr>
          <w:p>
            <w:pPr>
              <w:pStyle w:val="12"/>
            </w:pPr>
            <w:r>
              <w:t>2479625.70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21602</w:t>
            </w:r>
          </w:p>
        </w:tc>
        <w:tc>
          <w:tcPr>
            <w:tcW w:w="4535" w:type="dxa"/>
            <w:vAlign w:val="center"/>
          </w:tcPr>
          <w:p>
            <w:pPr>
              <w:pStyle w:val="13"/>
            </w:pPr>
            <w:r>
              <w:t>商业流通事务</w:t>
            </w:r>
          </w:p>
        </w:tc>
        <w:tc>
          <w:tcPr>
            <w:tcW w:w="2551" w:type="dxa"/>
            <w:vAlign w:val="center"/>
          </w:tcPr>
          <w:p>
            <w:pPr>
              <w:pStyle w:val="12"/>
            </w:pPr>
            <w:r>
              <w:t>2479625.70</w:t>
            </w:r>
          </w:p>
        </w:tc>
        <w:tc>
          <w:tcPr>
            <w:tcW w:w="2551" w:type="dxa"/>
            <w:vAlign w:val="center"/>
          </w:tcPr>
          <w:p>
            <w:pPr>
              <w:pStyle w:val="12"/>
            </w:pPr>
            <w:r>
              <w:t>2479625.70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2160201</w:t>
            </w:r>
          </w:p>
        </w:tc>
        <w:tc>
          <w:tcPr>
            <w:tcW w:w="4535" w:type="dxa"/>
            <w:vAlign w:val="center"/>
          </w:tcPr>
          <w:p>
            <w:pPr>
              <w:pStyle w:val="13"/>
            </w:pPr>
            <w:r>
              <w:t>行政运行</w:t>
            </w:r>
          </w:p>
        </w:tc>
        <w:tc>
          <w:tcPr>
            <w:tcW w:w="2551" w:type="dxa"/>
            <w:vAlign w:val="center"/>
          </w:tcPr>
          <w:p>
            <w:pPr>
              <w:pStyle w:val="12"/>
            </w:pPr>
            <w:r>
              <w:t>2479625.70</w:t>
            </w:r>
          </w:p>
        </w:tc>
        <w:tc>
          <w:tcPr>
            <w:tcW w:w="2551" w:type="dxa"/>
            <w:vAlign w:val="center"/>
          </w:tcPr>
          <w:p>
            <w:pPr>
              <w:pStyle w:val="12"/>
            </w:pPr>
            <w:r>
              <w:t>2479625.70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22205</w:t>
            </w:r>
          </w:p>
        </w:tc>
        <w:tc>
          <w:tcPr>
            <w:tcW w:w="4535" w:type="dxa"/>
            <w:vAlign w:val="center"/>
          </w:tcPr>
          <w:p>
            <w:pPr>
              <w:pStyle w:val="13"/>
            </w:pPr>
            <w:r>
              <w:t>重要商品储备</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2220509</w:t>
            </w:r>
          </w:p>
        </w:tc>
        <w:tc>
          <w:tcPr>
            <w:tcW w:w="4535" w:type="dxa"/>
            <w:vAlign w:val="center"/>
          </w:tcPr>
          <w:p>
            <w:pPr>
              <w:pStyle w:val="13"/>
            </w:pPr>
            <w:r>
              <w:t>食盐储备</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2479625.70</w:t>
            </w:r>
          </w:p>
        </w:tc>
        <w:tc>
          <w:tcPr>
            <w:tcW w:w="2551" w:type="dxa"/>
            <w:vAlign w:val="center"/>
          </w:tcPr>
          <w:p>
            <w:pPr>
              <w:pStyle w:val="16"/>
            </w:pPr>
            <w:r>
              <w:t>2286499.70</w:t>
            </w:r>
          </w:p>
        </w:tc>
        <w:tc>
          <w:tcPr>
            <w:tcW w:w="2551" w:type="dxa"/>
            <w:vAlign w:val="center"/>
          </w:tcPr>
          <w:p>
            <w:pPr>
              <w:pStyle w:val="16"/>
            </w:pPr>
            <w:r>
              <w:t>193126.00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1571970.79</w:t>
            </w:r>
          </w:p>
        </w:tc>
        <w:tc>
          <w:tcPr>
            <w:tcW w:w="2551" w:type="dxa"/>
            <w:vAlign w:val="center"/>
          </w:tcPr>
          <w:p>
            <w:pPr>
              <w:pStyle w:val="12"/>
            </w:pPr>
            <w:r>
              <w:t>1571970.79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495198.20</w:t>
            </w:r>
          </w:p>
        </w:tc>
        <w:tc>
          <w:tcPr>
            <w:tcW w:w="2551" w:type="dxa"/>
            <w:vAlign w:val="center"/>
          </w:tcPr>
          <w:p>
            <w:pPr>
              <w:pStyle w:val="12"/>
            </w:pPr>
            <w:r>
              <w:t>495198.20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48480.00</w:t>
            </w:r>
          </w:p>
        </w:tc>
        <w:tc>
          <w:tcPr>
            <w:tcW w:w="2551" w:type="dxa"/>
            <w:vAlign w:val="center"/>
          </w:tcPr>
          <w:p>
            <w:pPr>
              <w:pStyle w:val="12"/>
            </w:pPr>
            <w:r>
              <w:t>48480.00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454433.71</w:t>
            </w:r>
          </w:p>
        </w:tc>
        <w:tc>
          <w:tcPr>
            <w:tcW w:w="2551" w:type="dxa"/>
            <w:vAlign w:val="center"/>
          </w:tcPr>
          <w:p>
            <w:pPr>
              <w:pStyle w:val="12"/>
            </w:pPr>
            <w:r>
              <w:t>454433.71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145349.23</w:t>
            </w:r>
          </w:p>
        </w:tc>
        <w:tc>
          <w:tcPr>
            <w:tcW w:w="2551" w:type="dxa"/>
            <w:vAlign w:val="center"/>
          </w:tcPr>
          <w:p>
            <w:pPr>
              <w:pStyle w:val="12"/>
            </w:pPr>
            <w:r>
              <w:t>145349.23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63615.42</w:t>
            </w:r>
          </w:p>
        </w:tc>
        <w:tc>
          <w:tcPr>
            <w:tcW w:w="2551" w:type="dxa"/>
            <w:vAlign w:val="center"/>
          </w:tcPr>
          <w:p>
            <w:pPr>
              <w:pStyle w:val="12"/>
            </w:pPr>
            <w:r>
              <w:t>63615.42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154870.32</w:t>
            </w:r>
          </w:p>
        </w:tc>
        <w:tc>
          <w:tcPr>
            <w:tcW w:w="2551" w:type="dxa"/>
            <w:vAlign w:val="center"/>
          </w:tcPr>
          <w:p>
            <w:pPr>
              <w:pStyle w:val="12"/>
            </w:pPr>
            <w:r>
              <w:t>154870.32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80114.28</w:t>
            </w:r>
          </w:p>
        </w:tc>
        <w:tc>
          <w:tcPr>
            <w:tcW w:w="2551" w:type="dxa"/>
            <w:vAlign w:val="center"/>
          </w:tcPr>
          <w:p>
            <w:pPr>
              <w:pStyle w:val="12"/>
            </w:pPr>
            <w:r>
              <w:t>80114.28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16659.78</w:t>
            </w:r>
          </w:p>
        </w:tc>
        <w:tc>
          <w:tcPr>
            <w:tcW w:w="2551" w:type="dxa"/>
            <w:vAlign w:val="center"/>
          </w:tcPr>
          <w:p>
            <w:pPr>
              <w:pStyle w:val="12"/>
            </w:pPr>
            <w:r>
              <w:t>16659.78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113249.85</w:t>
            </w:r>
          </w:p>
        </w:tc>
        <w:tc>
          <w:tcPr>
            <w:tcW w:w="2551" w:type="dxa"/>
            <w:vAlign w:val="center"/>
          </w:tcPr>
          <w:p>
            <w:pPr>
              <w:pStyle w:val="12"/>
            </w:pPr>
            <w:r>
              <w:t>113249.85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193126.00</w:t>
            </w:r>
          </w:p>
        </w:tc>
        <w:tc>
          <w:tcPr>
            <w:tcW w:w="2551" w:type="dxa"/>
            <w:vAlign w:val="center"/>
          </w:tcPr>
          <w:p>
            <w:pPr>
              <w:pStyle w:val="12"/>
            </w:pPr>
          </w:p>
        </w:tc>
        <w:tc>
          <w:tcPr>
            <w:tcW w:w="2551" w:type="dxa"/>
            <w:vAlign w:val="center"/>
          </w:tcPr>
          <w:p>
            <w:pPr>
              <w:pStyle w:val="12"/>
            </w:pPr>
            <w:r>
              <w:t>193126.00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5500.00</w:t>
            </w:r>
          </w:p>
        </w:tc>
        <w:tc>
          <w:tcPr>
            <w:tcW w:w="2551" w:type="dxa"/>
            <w:vAlign w:val="center"/>
          </w:tcPr>
          <w:p>
            <w:pPr>
              <w:pStyle w:val="12"/>
            </w:pPr>
          </w:p>
        </w:tc>
        <w:tc>
          <w:tcPr>
            <w:tcW w:w="2551" w:type="dxa"/>
            <w:vAlign w:val="center"/>
          </w:tcPr>
          <w:p>
            <w:pPr>
              <w:pStyle w:val="12"/>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2200.00</w:t>
            </w:r>
          </w:p>
        </w:tc>
        <w:tc>
          <w:tcPr>
            <w:tcW w:w="2551" w:type="dxa"/>
            <w:vAlign w:val="center"/>
          </w:tcPr>
          <w:p>
            <w:pPr>
              <w:pStyle w:val="12"/>
            </w:pPr>
          </w:p>
        </w:tc>
        <w:tc>
          <w:tcPr>
            <w:tcW w:w="2551" w:type="dxa"/>
            <w:vAlign w:val="center"/>
          </w:tcPr>
          <w:p>
            <w:pPr>
              <w:pStyle w:val="12"/>
            </w:pPr>
            <w:r>
              <w:t>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11776.00</w:t>
            </w:r>
          </w:p>
        </w:tc>
        <w:tc>
          <w:tcPr>
            <w:tcW w:w="2551" w:type="dxa"/>
            <w:vAlign w:val="center"/>
          </w:tcPr>
          <w:p>
            <w:pPr>
              <w:pStyle w:val="12"/>
            </w:pPr>
          </w:p>
        </w:tc>
        <w:tc>
          <w:tcPr>
            <w:tcW w:w="2551" w:type="dxa"/>
            <w:vAlign w:val="center"/>
          </w:tcPr>
          <w:p>
            <w:pPr>
              <w:pStyle w:val="12"/>
            </w:pPr>
            <w:r>
              <w:t>11776.00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8800.00</w:t>
            </w:r>
          </w:p>
        </w:tc>
        <w:tc>
          <w:tcPr>
            <w:tcW w:w="2551" w:type="dxa"/>
            <w:vAlign w:val="center"/>
          </w:tcPr>
          <w:p>
            <w:pPr>
              <w:pStyle w:val="12"/>
            </w:pPr>
          </w:p>
        </w:tc>
        <w:tc>
          <w:tcPr>
            <w:tcW w:w="2551" w:type="dxa"/>
            <w:vAlign w:val="center"/>
          </w:tcPr>
          <w:p>
            <w:pPr>
              <w:pStyle w:val="12"/>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5500.00</w:t>
            </w:r>
          </w:p>
        </w:tc>
        <w:tc>
          <w:tcPr>
            <w:tcW w:w="2551" w:type="dxa"/>
            <w:vAlign w:val="center"/>
          </w:tcPr>
          <w:p>
            <w:pPr>
              <w:pStyle w:val="12"/>
            </w:pPr>
          </w:p>
        </w:tc>
        <w:tc>
          <w:tcPr>
            <w:tcW w:w="2551" w:type="dxa"/>
            <w:vAlign w:val="center"/>
          </w:tcPr>
          <w:p>
            <w:pPr>
              <w:pStyle w:val="12"/>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550.00</w:t>
            </w:r>
          </w:p>
        </w:tc>
        <w:tc>
          <w:tcPr>
            <w:tcW w:w="2551" w:type="dxa"/>
            <w:vAlign w:val="center"/>
          </w:tcPr>
          <w:p>
            <w:pPr>
              <w:pStyle w:val="12"/>
            </w:pPr>
          </w:p>
        </w:tc>
        <w:tc>
          <w:tcPr>
            <w:tcW w:w="2551" w:type="dxa"/>
            <w:vAlign w:val="center"/>
          </w:tcPr>
          <w:p>
            <w:pPr>
              <w:pStyle w:val="12"/>
            </w:pPr>
            <w:r>
              <w:t>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8800.00</w:t>
            </w:r>
          </w:p>
        </w:tc>
        <w:tc>
          <w:tcPr>
            <w:tcW w:w="2551" w:type="dxa"/>
            <w:vAlign w:val="center"/>
          </w:tcPr>
          <w:p>
            <w:pPr>
              <w:pStyle w:val="12"/>
            </w:pPr>
          </w:p>
        </w:tc>
        <w:tc>
          <w:tcPr>
            <w:tcW w:w="2551" w:type="dxa"/>
            <w:vAlign w:val="center"/>
          </w:tcPr>
          <w:p>
            <w:pPr>
              <w:pStyle w:val="12"/>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116000.00</w:t>
            </w:r>
          </w:p>
        </w:tc>
        <w:tc>
          <w:tcPr>
            <w:tcW w:w="2551" w:type="dxa"/>
            <w:vAlign w:val="center"/>
          </w:tcPr>
          <w:p>
            <w:pPr>
              <w:pStyle w:val="12"/>
            </w:pPr>
          </w:p>
        </w:tc>
        <w:tc>
          <w:tcPr>
            <w:tcW w:w="2551" w:type="dxa"/>
            <w:vAlign w:val="center"/>
          </w:tcPr>
          <w:p>
            <w:pPr>
              <w:pStyle w:val="12"/>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714528.91</w:t>
            </w:r>
          </w:p>
        </w:tc>
        <w:tc>
          <w:tcPr>
            <w:tcW w:w="2551" w:type="dxa"/>
            <w:vAlign w:val="center"/>
          </w:tcPr>
          <w:p>
            <w:pPr>
              <w:pStyle w:val="12"/>
            </w:pPr>
            <w:r>
              <w:t>714528.91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26142.00</w:t>
            </w:r>
          </w:p>
        </w:tc>
        <w:tc>
          <w:tcPr>
            <w:tcW w:w="2551" w:type="dxa"/>
            <w:vAlign w:val="center"/>
          </w:tcPr>
          <w:p>
            <w:pPr>
              <w:pStyle w:val="12"/>
            </w:pPr>
            <w:r>
              <w:t>26142.00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233793.00</w:t>
            </w:r>
          </w:p>
        </w:tc>
        <w:tc>
          <w:tcPr>
            <w:tcW w:w="2551" w:type="dxa"/>
            <w:vAlign w:val="center"/>
          </w:tcPr>
          <w:p>
            <w:pPr>
              <w:pStyle w:val="12"/>
            </w:pPr>
            <w:r>
              <w:t>233793.00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117498.00</w:t>
            </w:r>
          </w:p>
        </w:tc>
        <w:tc>
          <w:tcPr>
            <w:tcW w:w="2551" w:type="dxa"/>
            <w:vAlign w:val="center"/>
          </w:tcPr>
          <w:p>
            <w:pPr>
              <w:pStyle w:val="12"/>
            </w:pPr>
            <w:r>
              <w:t>117498.00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337095.91</w:t>
            </w:r>
          </w:p>
        </w:tc>
        <w:tc>
          <w:tcPr>
            <w:tcW w:w="2551" w:type="dxa"/>
            <w:vAlign w:val="center"/>
          </w:tcPr>
          <w:p>
            <w:pPr>
              <w:pStyle w:val="12"/>
            </w:pPr>
            <w:r>
              <w:t>337095.91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975玉田县供销社</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玉田县供销社2025年部门预算信息公开情况说明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玉田县供销社2025年部门预算信息公开情况说明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按照《中华人民共和国预算法》、《地方预决算公开操作规程》和《关于进一步推进预算公开工作的实施意见》规定，现将玉田县供销社2025年部门预算公开如下：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县供销合作社机关主要负责宣传贯彻党委和政府“三农”工作方针政策，指导县供销合作事业发展；负责研究制定县销合作社的发展战略和发展规划，指导服务系统改革发展；负责按照政府授权对食盐、重要农业生产资料、农副产品的经营进行组织、协调和管理，承担政府委托的公益性服务和其他任务；负责管理政府委托的重要物资、商品的储备工作负责受本级政府委托负责县烟花爆竹批发业务；负责指导所盐业专营企业做好食盐批发经营工作；负责推进供销合作社法治建设，研究提出促进农村经济社会和行业发展的政策法规建议，维护各级供销合作社的合法权益；负责发展农业生产资料现代经营服务网络，构建连锁经营体系；负责发展农副产品购销网络，创办各类农副产品批发市场，推动农超对接；负责发展日用消费品现代经菅网络，构建现代连锁经营体系；负责再生资源回收利用体系建设；负责协调同有关部门的关系，指导县供销合作社业务活动，支持系统发展电子商务和开展农村合作金融服务，指导推进县农村产权交易体系建设和管理，指导系统领办创办农民专业合作社，更好履行为农服务职责；负责管理运营县社社有资产，对出资企业行使出资人职能；负责推进直属企业改革，建立健全现代企业制度；负责系统财产安全统筹工作；负责基层合作社的组织建设；负责监督指导基层供销合作社的经菅管理和改革发展；负责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玉田县供销社本级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按照预算管理有关规定，目前部门预算的编制实行综合预算管理，即全部收入和支出都反映在预算中。玉田县供销社机关及所属事业单位的收支包含在部门预算中。</w:t>
      </w:r>
    </w:p>
    <w:p>
      <w:pPr>
        <w:pStyle w:val="19"/>
      </w:pPr>
      <w:r>
        <w:t>1、收入说明</w:t>
      </w:r>
    </w:p>
    <w:p>
      <w:pPr>
        <w:pStyle w:val="19"/>
      </w:pPr>
      <w:r>
        <w:t>反映本部门当年全部收入。2025年预算收入2579625.70元，其中：一般公共预算收入2579625.70元，基金预算收入0.00元，国有资本经营预算收入0.00元，财政专户核拨收入0.00元，单位资金收入0.00元，上年结转结余0.00元。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供销社年度部门预算中支出预算的总体情况。2025年支出预算2579625.70元，其中基本支出2479625.70元，包括人员经费2286499.70元和日常公用经费193126.00元；项目支出100000.00元，主要为食盐储备10</w:t>
      </w:r>
      <w:r>
        <w:rPr>
          <w:rFonts w:hint="eastAsia"/>
          <w:lang w:val="en-US" w:eastAsia="zh-CN"/>
        </w:rPr>
        <w:t>0000</w:t>
      </w:r>
      <w:r>
        <w:t>元。</w:t>
      </w:r>
    </w:p>
    <w:p>
      <w:pPr>
        <w:pStyle w:val="19"/>
      </w:pPr>
      <w:r>
        <w:t>3、比上年增减情况</w:t>
      </w:r>
    </w:p>
    <w:p>
      <w:pPr>
        <w:pStyle w:val="19"/>
      </w:pPr>
      <w:r>
        <w:t>2025年预算收支安排2579625.70元，较2024年预算减少292441.86元，其中：基本支出减少239441.86元，主要为主要为人员经费预算减少220341.86元，公用经费减少19100元。项目支出减少53000.00元，主要为食盐储备项目增加 47000元，玉田县供销合作社承接农村产权交易中心工作所需经费减少100000元。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2025年，我部门机关运行经费共计安排193126.00元，主要用于日常维修、办公用房水电费、办公用房取暖费、办公用房物业管理费等日常运行支出。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rPr>
          <w:rFonts w:hint="eastAsia"/>
          <w:lang w:val="en-US" w:eastAsia="zh-CN"/>
        </w:rPr>
      </w:pPr>
      <w:r>
        <w:t>2025年，我部门财政拨款“三公”经费预算安排</w:t>
      </w:r>
      <w:r>
        <w:rPr>
          <w:rFonts w:hint="eastAsia"/>
          <w:lang w:val="en-US" w:eastAsia="zh-CN"/>
        </w:rPr>
        <w:t>2.3</w:t>
      </w:r>
      <w:r>
        <w:t>0万元，其中因公出国（境）费0.00万元；公务用车购置及运维费</w:t>
      </w:r>
      <w:r>
        <w:rPr>
          <w:rFonts w:hint="eastAsia"/>
          <w:lang w:val="en-US" w:eastAsia="zh-CN"/>
        </w:rPr>
        <w:t>2.3</w:t>
      </w:r>
      <w:r>
        <w:t>万元（其中：公务用车购置费为0.00万元，公务用车运维费</w:t>
      </w:r>
      <w:r>
        <w:rPr>
          <w:rFonts w:hint="eastAsia"/>
          <w:lang w:val="en-US" w:eastAsia="zh-CN"/>
        </w:rPr>
        <w:t>2.3</w:t>
      </w:r>
      <w:r>
        <w:t>万元)；公务接待费0.00万元。与2024年相比增加0.00万元，增减变化的主要原因是与202</w:t>
      </w:r>
      <w:r>
        <w:rPr>
          <w:rFonts w:hint="eastAsia"/>
          <w:lang w:val="en-US" w:eastAsia="zh-CN"/>
        </w:rPr>
        <w:t>5</w:t>
      </w:r>
      <w:r>
        <w:t>年</w:t>
      </w:r>
      <w:r>
        <w:rPr>
          <w:rFonts w:hint="eastAsia"/>
          <w:lang w:val="en-US" w:eastAsia="zh-CN"/>
        </w:rPr>
        <w:t>我单位财政拨款“三公”经费预算安排2.30万</w:t>
      </w:r>
      <w:r>
        <w:t>元</w:t>
      </w:r>
      <w:r>
        <w:rPr>
          <w:rFonts w:hint="eastAsia"/>
          <w:lang w:eastAsia="zh-CN"/>
        </w:rPr>
        <w:t>，</w:t>
      </w:r>
      <w:r>
        <w:rPr>
          <w:rFonts w:hint="eastAsia"/>
          <w:lang w:val="en-US" w:eastAsia="zh-CN"/>
        </w:rPr>
        <w:t>与上年持平，无增减变化具体安排情况如下：</w:t>
      </w:r>
    </w:p>
    <w:p>
      <w:pPr>
        <w:pStyle w:val="26"/>
        <w:numPr>
          <w:ilvl w:val="0"/>
          <w:numId w:val="1"/>
        </w:numPr>
        <w:rPr>
          <w:rFonts w:hint="eastAsia"/>
          <w:lang w:val="en-US" w:eastAsia="zh-CN"/>
        </w:rPr>
      </w:pPr>
      <w:r>
        <w:t>公务用车购置及运维费</w:t>
      </w:r>
      <w:r>
        <w:rPr>
          <w:rFonts w:hint="eastAsia"/>
          <w:lang w:val="en-US" w:eastAsia="zh-CN"/>
        </w:rPr>
        <w:t>2.30万</w:t>
      </w:r>
      <w:r>
        <w:t>元</w:t>
      </w:r>
      <w:r>
        <w:rPr>
          <w:rFonts w:hint="eastAsia"/>
          <w:lang w:eastAsia="zh-CN"/>
        </w:rPr>
        <w:t>，</w:t>
      </w:r>
      <w:r>
        <w:rPr>
          <w:rFonts w:hint="eastAsia"/>
          <w:lang w:val="en-US" w:eastAsia="zh-CN"/>
        </w:rPr>
        <w:t>与上年持平，无增减变化。</w:t>
      </w:r>
    </w:p>
    <w:p>
      <w:pPr>
        <w:pStyle w:val="26"/>
        <w:numPr>
          <w:ilvl w:val="0"/>
          <w:numId w:val="0"/>
        </w:numPr>
        <w:ind w:firstLine="840" w:firstLineChars="300"/>
      </w:pPr>
      <w:r>
        <w:rPr>
          <w:rFonts w:hint="eastAsia"/>
          <w:lang w:val="en-US" w:eastAsia="zh-CN"/>
        </w:rPr>
        <w:t>①</w:t>
      </w:r>
      <w:r>
        <w:t>公务用车购置费0.00</w:t>
      </w:r>
      <w:r>
        <w:rPr>
          <w:rFonts w:hint="eastAsia"/>
          <w:lang w:val="en-US" w:eastAsia="zh-CN"/>
        </w:rPr>
        <w:t>万</w:t>
      </w:r>
      <w:r>
        <w:t>元，</w:t>
      </w:r>
      <w:r>
        <w:rPr>
          <w:rFonts w:hint="eastAsia"/>
          <w:lang w:val="en-US" w:eastAsia="zh-CN"/>
        </w:rPr>
        <w:t>与上年持平，无增减变化。</w:t>
      </w:r>
    </w:p>
    <w:p>
      <w:pPr>
        <w:pStyle w:val="26"/>
        <w:numPr>
          <w:ilvl w:val="0"/>
          <w:numId w:val="0"/>
        </w:numPr>
        <w:ind w:firstLine="840" w:firstLineChars="300"/>
        <w:rPr>
          <w:rFonts w:hint="eastAsia"/>
          <w:lang w:val="en-US" w:eastAsia="zh-CN"/>
        </w:rPr>
      </w:pPr>
      <w:r>
        <w:rPr>
          <w:rFonts w:hint="eastAsia"/>
          <w:lang w:val="en-US" w:eastAsia="zh-CN"/>
        </w:rPr>
        <w:t>②</w:t>
      </w:r>
      <w:r>
        <w:t>公务用车运维费</w:t>
      </w:r>
      <w:r>
        <w:rPr>
          <w:rFonts w:hint="eastAsia"/>
          <w:lang w:val="en-US" w:eastAsia="zh-CN"/>
        </w:rPr>
        <w:t>2.30万</w:t>
      </w:r>
      <w:r>
        <w:t>元</w:t>
      </w:r>
      <w:r>
        <w:rPr>
          <w:rFonts w:hint="eastAsia"/>
          <w:lang w:eastAsia="zh-CN"/>
        </w:rPr>
        <w:t>，</w:t>
      </w:r>
      <w:r>
        <w:rPr>
          <w:rFonts w:hint="eastAsia"/>
          <w:lang w:val="en-US" w:eastAsia="zh-CN"/>
        </w:rPr>
        <w:t>与上年持平，无增减变化。</w:t>
      </w:r>
    </w:p>
    <w:p>
      <w:pPr>
        <w:pStyle w:val="26"/>
        <w:numPr>
          <w:ilvl w:val="0"/>
          <w:numId w:val="1"/>
        </w:numPr>
        <w:ind w:left="0" w:leftChars="0" w:firstLine="560" w:firstLineChars="0"/>
        <w:rPr>
          <w:rFonts w:hint="eastAsia"/>
          <w:lang w:val="en-US" w:eastAsia="zh-CN"/>
        </w:rPr>
      </w:pPr>
      <w:r>
        <w:t>公务接待费0.00</w:t>
      </w:r>
      <w:r>
        <w:rPr>
          <w:rFonts w:hint="eastAsia"/>
          <w:lang w:val="en-US" w:eastAsia="zh-CN"/>
        </w:rPr>
        <w:t>万</w:t>
      </w:r>
      <w:r>
        <w:t>元</w:t>
      </w:r>
      <w:r>
        <w:rPr>
          <w:rFonts w:hint="eastAsia"/>
          <w:lang w:eastAsia="zh-CN"/>
        </w:rPr>
        <w:t>，</w:t>
      </w:r>
      <w:r>
        <w:rPr>
          <w:rFonts w:hint="eastAsia"/>
          <w:lang w:val="en-US" w:eastAsia="zh-CN"/>
        </w:rPr>
        <w:t>与上年持平，无增减变化。</w:t>
      </w:r>
    </w:p>
    <w:p>
      <w:pPr>
        <w:pStyle w:val="26"/>
        <w:numPr>
          <w:ilvl w:val="0"/>
          <w:numId w:val="1"/>
        </w:numPr>
        <w:ind w:left="0" w:leftChars="0" w:firstLine="560" w:firstLineChars="0"/>
      </w:pPr>
      <w:r>
        <w:t>因公出国（境）费0.00</w:t>
      </w:r>
      <w:r>
        <w:rPr>
          <w:rFonts w:hint="eastAsia"/>
          <w:lang w:val="en-US" w:eastAsia="zh-CN"/>
        </w:rPr>
        <w:t>万</w:t>
      </w:r>
      <w:r>
        <w:t>元</w:t>
      </w:r>
      <w:r>
        <w:rPr>
          <w:rFonts w:hint="eastAsia"/>
          <w:lang w:eastAsia="zh-CN"/>
        </w:rPr>
        <w:t>，</w:t>
      </w:r>
      <w:r>
        <w:rPr>
          <w:rFonts w:hint="eastAsia"/>
          <w:lang w:val="en-US" w:eastAsia="zh-CN"/>
        </w:rPr>
        <w:t>与上年持平，无增减变化。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p>
    <w:p>
      <w:pPr>
        <w:pStyle w:val="22"/>
      </w:pPr>
      <w:r>
        <w:t>供销社立足服务乡村振兴工作大局，深入落实《供销合作社条例》，继续深入推进供销合作社综合改革，着力构建为农服务基层组织体系、农业社会化服务体系、农村现代流通网络服务体系、农村综合信息服务体系、农村合作金融服务体系建设，主动作为，全面提升为农服务水平，努力开创供销合作社事业发展新局面。</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日常公用经费，年初预算安排193126元。项目主要目标为圆满完成2025年供销社各项任务.资金累计支出进度3月底、6月底、9月底、12月底分别达到25%、50%、75%、100%。项目共设产出指标、效果指标、满意度指标三个一级指标，下设9个二、三级指标。具体为：1、产出指标－实效指标－完成率，指标值为＞＝90%。2、效果指标－社会效果指标－意见建议采纳率，指标值为＞＝90%。3、满意度指标－服务对象满意度－参与者满意度情况，指标值为＞＝95% 。</w:t>
      </w:r>
    </w:p>
    <w:p>
      <w:pPr>
        <w:pStyle w:val="23"/>
      </w:pPr>
    </w:p>
    <w:p>
      <w:pPr>
        <w:pStyle w:val="23"/>
      </w:pPr>
      <w:r>
        <w:t>人员经费支出，年初预算安排2286499.7元,项目主要目标为圆满完成2025年供销社各项任务.资金累计支出进度3月底、6月底、10月底、12月底分别达到25%、50%、75%、100%。项目共设产出指标、效果指标、满意度指标三个一级指标，下设9个二、三级指标。具体为：1、产出指标－实效指标－完成率，指标值为＞＝90%。2、效果指标－社会效果指标－意见建议采纳率，指标值为＞＝90%。3、满意度指标－服务对象满意度－参与者满意度情况，指标值为＞＝95%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扎实推进农业社会化服务项目。重点支持小农户接受农业社会化服务，服务小农户的面积占比达88％，让广大小农户受益。社银合作打造为农服务新模式。玉田县供销社主动与县农商银行开展合作，积极推动“金融+供销”的服务新模式，不断深化社银联动机制，解决社员资金难题。聚焦关注供销系统基层骨干企业发展，在资金、利率上满足企业运营及重大项目建设资金需求。在以农资供应为主线推进农事服务全产业链服务过程中，针对新型农业主体在农业生产中遇到的资金难题，联合农商银行推出“农资贷”金融服务模式。聚焦关注基层为农服务中心建设，将系统经营网点发展为金融服务点。扎实推进“绿色农资”升级行动试点工作。聚焦巩固拓展供销社农资主渠道优势，不断创新优化农资保供。要继续完善制度建设。加强支出管理和绩效运行监控，做好绩效自评，规范财务资产管理，不断加强内部监督和宣传培训调研。持续推进省级村社共建试点县建设。积极开展联合合作，引入更多新型经营主体，多种方式开展具有供销合作社特色的为农服务新业务。创新为农服务新模式，推动系统农业社会化服务提质。针对基层社农业主体在农业生产中遇到的资金难题，联合农商银行推出“农资贷”金融服务模式。</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1、食盐储备绩效目标表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13022925P00JXC410270K</w:t>
            </w:r>
          </w:p>
        </w:tc>
        <w:tc>
          <w:tcPr>
            <w:tcW w:w="2835" w:type="dxa"/>
            <w:vAlign w:val="center"/>
          </w:tcPr>
          <w:p>
            <w:pPr>
              <w:pStyle w:val="11"/>
            </w:pPr>
            <w:r>
              <w:t>项目名称</w:t>
            </w:r>
          </w:p>
        </w:tc>
        <w:tc>
          <w:tcPr>
            <w:tcW w:w="6095" w:type="dxa"/>
            <w:gridSpan w:val="3"/>
            <w:vAlign w:val="center"/>
          </w:tcPr>
          <w:p>
            <w:pPr>
              <w:pStyle w:val="13"/>
            </w:pPr>
            <w:r>
              <w:t>食盐储备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用于食盐储备，保障本县盐业市场稳定。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1.保持本县盐业市场的稳定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储盐吨数</w:t>
            </w:r>
          </w:p>
        </w:tc>
        <w:tc>
          <w:tcPr>
            <w:tcW w:w="5386" w:type="dxa"/>
            <w:vAlign w:val="center"/>
          </w:tcPr>
          <w:p>
            <w:pPr>
              <w:pStyle w:val="13"/>
            </w:pPr>
            <w:r>
              <w:t>四个月储盐吨数大于等于408吨</w:t>
            </w:r>
          </w:p>
        </w:tc>
        <w:tc>
          <w:tcPr>
            <w:tcW w:w="2268" w:type="dxa"/>
            <w:vAlign w:val="center"/>
          </w:tcPr>
          <w:p>
            <w:pPr>
              <w:pStyle w:val="13"/>
            </w:pPr>
            <w:r>
              <w:t>≥408吨</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保证食盐储备工作正常开展</w:t>
            </w:r>
          </w:p>
        </w:tc>
        <w:tc>
          <w:tcPr>
            <w:tcW w:w="5386" w:type="dxa"/>
            <w:vAlign w:val="center"/>
          </w:tcPr>
          <w:p>
            <w:pPr>
              <w:pStyle w:val="13"/>
            </w:pPr>
            <w:r>
              <w:t>保证食盐储备工作正常开展</w:t>
            </w:r>
          </w:p>
        </w:tc>
        <w:tc>
          <w:tcPr>
            <w:tcW w:w="2268" w:type="dxa"/>
            <w:vAlign w:val="center"/>
          </w:tcPr>
          <w:p>
            <w:pPr>
              <w:pStyle w:val="13"/>
            </w:pPr>
            <w:r>
              <w:t>≥98百分比</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食盐储备按月完成100%</w:t>
            </w:r>
          </w:p>
        </w:tc>
        <w:tc>
          <w:tcPr>
            <w:tcW w:w="5386" w:type="dxa"/>
            <w:vAlign w:val="center"/>
          </w:tcPr>
          <w:p>
            <w:pPr>
              <w:pStyle w:val="13"/>
            </w:pPr>
            <w:r>
              <w:t>食盐储备按月完成100%</w:t>
            </w:r>
          </w:p>
        </w:tc>
        <w:tc>
          <w:tcPr>
            <w:tcW w:w="2268" w:type="dxa"/>
            <w:vAlign w:val="center"/>
          </w:tcPr>
          <w:p>
            <w:pPr>
              <w:pStyle w:val="13"/>
            </w:pPr>
            <w:r>
              <w:t>≥100百分比</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≥100百分比</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保障本县重要物资储备</w:t>
            </w:r>
          </w:p>
        </w:tc>
        <w:tc>
          <w:tcPr>
            <w:tcW w:w="5386" w:type="dxa"/>
            <w:vAlign w:val="center"/>
          </w:tcPr>
          <w:p>
            <w:pPr>
              <w:pStyle w:val="13"/>
            </w:pPr>
            <w:r>
              <w:t>保障本县重要物资储备</w:t>
            </w:r>
          </w:p>
        </w:tc>
        <w:tc>
          <w:tcPr>
            <w:tcW w:w="2268" w:type="dxa"/>
            <w:vAlign w:val="center"/>
          </w:tcPr>
          <w:p>
            <w:pPr>
              <w:pStyle w:val="13"/>
            </w:pPr>
            <w:r>
              <w:t>≥90百分比</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保障本县盐业市场稳定</w:t>
            </w:r>
          </w:p>
        </w:tc>
        <w:tc>
          <w:tcPr>
            <w:tcW w:w="5386" w:type="dxa"/>
            <w:vAlign w:val="center"/>
          </w:tcPr>
          <w:p>
            <w:pPr>
              <w:pStyle w:val="13"/>
            </w:pPr>
            <w:r>
              <w:t>保障本县盐业市场稳定</w:t>
            </w:r>
          </w:p>
        </w:tc>
        <w:tc>
          <w:tcPr>
            <w:tcW w:w="2268" w:type="dxa"/>
            <w:vAlign w:val="center"/>
          </w:tcPr>
          <w:p>
            <w:pPr>
              <w:pStyle w:val="13"/>
            </w:pPr>
            <w:r>
              <w:t>≥90社会效益</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保证本县人民基本用盐需求</w:t>
            </w:r>
          </w:p>
        </w:tc>
        <w:tc>
          <w:tcPr>
            <w:tcW w:w="5386" w:type="dxa"/>
            <w:vAlign w:val="center"/>
          </w:tcPr>
          <w:p>
            <w:pPr>
              <w:pStyle w:val="13"/>
            </w:pPr>
            <w:r>
              <w:t>保证本县人民基本用盐需求</w:t>
            </w:r>
          </w:p>
        </w:tc>
        <w:tc>
          <w:tcPr>
            <w:tcW w:w="2268" w:type="dxa"/>
            <w:vAlign w:val="center"/>
          </w:tcPr>
          <w:p>
            <w:pPr>
              <w:pStyle w:val="13"/>
            </w:pPr>
            <w:r>
              <w:t>≥90社会效益</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完成食盐储备额</w:t>
            </w:r>
          </w:p>
        </w:tc>
        <w:tc>
          <w:tcPr>
            <w:tcW w:w="5386" w:type="dxa"/>
            <w:vAlign w:val="center"/>
          </w:tcPr>
          <w:p>
            <w:pPr>
              <w:pStyle w:val="13"/>
            </w:pPr>
            <w:r>
              <w:t>完成食盐储备额</w:t>
            </w:r>
          </w:p>
        </w:tc>
        <w:tc>
          <w:tcPr>
            <w:tcW w:w="2268" w:type="dxa"/>
            <w:vAlign w:val="center"/>
          </w:tcPr>
          <w:p>
            <w:pPr>
              <w:pStyle w:val="13"/>
            </w:pPr>
            <w:r>
              <w:t>≥90社会效益</w:t>
            </w:r>
          </w:p>
        </w:tc>
        <w:tc>
          <w:tcPr>
            <w:tcW w:w="1276" w:type="dxa"/>
            <w:vAlign w:val="center"/>
          </w:tcPr>
          <w:p>
            <w:pPr>
              <w:pStyle w:val="13"/>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≥95服务对象满意度</w:t>
            </w:r>
          </w:p>
        </w:tc>
        <w:tc>
          <w:tcPr>
            <w:tcW w:w="1276" w:type="dxa"/>
            <w:vAlign w:val="center"/>
          </w:tcPr>
          <w:p>
            <w:pPr>
              <w:pStyle w:val="13"/>
            </w:pPr>
            <w:r>
              <w:t>实际完成</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975玉田县供销社</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val="en-US" w:eastAsia="zh-CN"/>
              </w:rPr>
            </w:pPr>
            <w:r>
              <w:rPr>
                <w:rFonts w:hint="eastAsia"/>
                <w:lang w:val="en-US" w:eastAsia="zh-CN"/>
              </w:rPr>
              <w:t>公车运行维护费</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玉田县供销社（含所属单位）上年末固定资产金额为4131077.08元（详见下表）。本年度拟购置固定资产总额为0.00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975玉田县供销社</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4131077.08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535.44</w:t>
            </w:r>
          </w:p>
        </w:tc>
        <w:tc>
          <w:tcPr>
            <w:tcW w:w="2835" w:type="dxa"/>
            <w:vAlign w:val="center"/>
          </w:tcPr>
          <w:p>
            <w:pPr>
              <w:pStyle w:val="12"/>
            </w:pPr>
            <w:r>
              <w:t>4090405.35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12</w:t>
            </w:r>
          </w:p>
        </w:tc>
        <w:tc>
          <w:tcPr>
            <w:tcW w:w="2835" w:type="dxa"/>
            <w:vAlign w:val="center"/>
          </w:tcPr>
          <w:p>
            <w:pPr>
              <w:pStyle w:val="12"/>
            </w:pPr>
            <w:r>
              <w:t>40671.73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ACD82"/>
    <w:multiLevelType w:val="singleLevel"/>
    <w:tmpl w:val="23AACD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9975BA6"/>
    <w:rsid w:val="513F20C4"/>
    <w:rsid w:val="5E261785"/>
    <w:rsid w:val="77582A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8</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2025-01-20T18:18:00Z</dcterms:created>
  <dc:creator>Lenovo</dc:creator>
  <cp:lastModifiedBy>Lenovo</cp:lastModifiedBy>
  <dcterms:modified xsi:type="dcterms:W3CDTF">2025-01-23T07:34:36Z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ED0ED95CACA34973BDBD86664C054185</vt:lpwstr>
  </property>
</Properties>
</file>