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6" w:name="_GoBack"/>
      <w:bookmarkEnd w:id="6"/>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玉田县审计局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玉田县审计局编制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1.残疾人保障金绩效目标表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2.聘请第三方审计工作经费绩效目标表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3.审计事业费和配合市审计专项工作绩效目标表</w:t>
      </w:r>
      <w:r>
        <w:tab/>
      </w:r>
      <w:r>
        <w:fldChar w:fldCharType="begin"/>
      </w:r>
      <w:r>
        <w:instrText xml:space="preserve">PAGEREF _Toc_4_4_0000000006 \h</w:instrText>
      </w:r>
      <w:r>
        <w:fldChar w:fldCharType="separate"/>
      </w:r>
      <w:r>
        <w:t>7</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（一）总体绩效目标</w:t>
      </w:r>
    </w:p>
    <w:p>
      <w:pPr>
        <w:pStyle w:val="8"/>
      </w:pPr>
      <w:r>
        <w:t>目标1：在县人民政府和上一级审计机关的领导下，对本级预算执行情况进行审计监督，向本级人民政府和上一级审计机关提出审计结果报告。</w:t>
      </w:r>
    </w:p>
    <w:p>
      <w:pPr>
        <w:pStyle w:val="8"/>
      </w:pPr>
    </w:p>
    <w:p>
      <w:pPr>
        <w:pStyle w:val="8"/>
      </w:pPr>
      <w:r>
        <w:t>目标2：对本级人民政府各部门和乡（镇）政府预算的执行情况和决算以及预算外资金的管理和使用情况进行审计监督。</w:t>
      </w:r>
    </w:p>
    <w:p>
      <w:pPr>
        <w:pStyle w:val="8"/>
      </w:pPr>
    </w:p>
    <w:p>
      <w:pPr>
        <w:pStyle w:val="8"/>
      </w:pPr>
      <w:r>
        <w:t>目标3：按照国家有关规定，对本市属于审计机关审计监督对象的其他单位的主要负责人，在任职</w:t>
      </w:r>
    </w:p>
    <w:p>
      <w:pPr>
        <w:pStyle w:val="8"/>
      </w:pPr>
    </w:p>
    <w:p>
      <w:pPr>
        <w:pStyle w:val="8"/>
      </w:pPr>
      <w:r>
        <w:t>期间对本部门或者本单位的财政收支以及有关经济活动为主的建设项目的预算执行情况和决算进行审计监督。</w:t>
      </w:r>
    </w:p>
    <w:p>
      <w:pPr>
        <w:pStyle w:val="8"/>
      </w:pPr>
    </w:p>
    <w:p>
      <w:pPr>
        <w:pStyle w:val="8"/>
      </w:pPr>
      <w:r>
        <w:t>目标4：对政府投资和以政府投资为主的建设项目的预算执行情况和决算，进行审计监督。</w:t>
      </w:r>
    </w:p>
    <w:p>
      <w:pPr>
        <w:pStyle w:val="8"/>
      </w:pPr>
    </w:p>
    <w:p>
      <w:pPr>
        <w:pStyle w:val="8"/>
      </w:pPr>
      <w:r>
        <w:t>目标5：对本属国有企业的资产、负债、损益情况和国有资产保值、增值情况进行审计监督。对有国家资金或接受财政补贴的事业组织和使用财政资金的其他事业组织的财务收支，进行审计监督</w:t>
      </w:r>
    </w:p>
    <w:p>
      <w:pPr>
        <w:pStyle w:val="8"/>
      </w:pPr>
    </w:p>
    <w:p>
      <w:pPr>
        <w:pStyle w:val="8"/>
      </w:pPr>
      <w:r>
        <w:t>目标6：完成上级审计机关安排的审计项目。</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（一）绩效目标：审计事业和配合市审计专项工作，项目主要为全年计划的省、市审计机关及县委、县政府安排的审计项目及时完成。资金累计支出进度3月底、6月底、9月底、12月底分别达到25%、50%、75%、100%。</w:t>
      </w:r>
    </w:p>
    <w:p>
      <w:pPr>
        <w:pStyle w:val="9"/>
      </w:pPr>
      <w:r>
        <w:t>绩效指标：预算金额300000元。</w:t>
      </w:r>
    </w:p>
    <w:p>
      <w:pPr>
        <w:pStyle w:val="9"/>
      </w:pPr>
      <w:r>
        <w:t> </w:t>
      </w:r>
    </w:p>
    <w:p>
      <w:pPr>
        <w:pStyle w:val="9"/>
      </w:pPr>
      <w:r>
        <w:t>（二）绩效目标：聘请第三方审计工作经费，主要用于支付2022年疫情防控资金筹集管理情况审计，县审计局聘请第三方进行配合此项审计工作。</w:t>
      </w:r>
    </w:p>
    <w:p>
      <w:pPr>
        <w:pStyle w:val="9"/>
      </w:pPr>
      <w:r>
        <w:t>绩效指标：预算金额260928元。</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1、在县人民政府和上一级审计机关的领导下，对本级预算执行情况进行审计监督，向本级人民政府和上一级审计机关提出审计结果报告。</w:t>
      </w:r>
    </w:p>
    <w:p>
      <w:pPr>
        <w:pStyle w:val="10"/>
      </w:pPr>
      <w:r>
        <w:t> </w:t>
      </w:r>
    </w:p>
    <w:p>
      <w:pPr>
        <w:pStyle w:val="10"/>
      </w:pPr>
      <w:r>
        <w:t>2、对本级人民政府各部门和乡（镇）政府预算的执行情况和决算以及预算外资金的管理和使用情况进行审计监督；</w:t>
      </w:r>
    </w:p>
    <w:p>
      <w:pPr>
        <w:pStyle w:val="10"/>
      </w:pPr>
      <w:r>
        <w:t> </w:t>
      </w:r>
    </w:p>
    <w:p>
      <w:pPr>
        <w:pStyle w:val="10"/>
      </w:pPr>
      <w:r>
        <w:t>3、按照国家有关规定，对本市属于审计机关审计监督对象的其他单位的主要负责人，在任职期间对本部门或者本单位的财政收支、财务收支以及有关经济活动应负经济责任的履行情况，进行审计监督。</w:t>
      </w:r>
    </w:p>
    <w:p>
      <w:pPr>
        <w:pStyle w:val="10"/>
      </w:pPr>
      <w:r>
        <w:t> </w:t>
      </w:r>
    </w:p>
    <w:p>
      <w:pPr>
        <w:pStyle w:val="10"/>
      </w:pPr>
      <w:r>
        <w:t>4、对政府投资和以政府投资为主的建设项目的预算执行情况和决算，进行审计监督。</w:t>
      </w:r>
    </w:p>
    <w:p>
      <w:pPr>
        <w:pStyle w:val="10"/>
      </w:pPr>
      <w:r>
        <w:t> </w:t>
      </w:r>
    </w:p>
    <w:p>
      <w:pPr>
        <w:pStyle w:val="10"/>
      </w:pPr>
      <w:r>
        <w:t>5、对市属国有企业的资产、负债、损益情况和国有资产保值、增值情况进行审计监督。对有国家资金或接受财政补贴的事业组织和使用财政资金的其他事业组织的财务收支，进行审计监督。</w:t>
      </w:r>
    </w:p>
    <w:p>
      <w:pPr>
        <w:pStyle w:val="10"/>
      </w:pPr>
      <w:r>
        <w:t> </w:t>
      </w:r>
    </w:p>
    <w:p>
      <w:pPr>
        <w:pStyle w:val="10"/>
      </w:pPr>
      <w:r>
        <w:t>6、完成上级审计机关安排的审计项目。</w:t>
      </w:r>
    </w:p>
    <w:p>
      <w:pPr>
        <w:pStyle w:val="10"/>
      </w:pPr>
      <w:r>
        <w:t>7、完善制度建设、加强支出管理、加强绩效运行监控、做好绩效自评、规范财务资产管理、加强内部监督、加强宣传培训调研。</w:t>
      </w:r>
    </w:p>
    <w:p>
      <w:pPr>
        <w:pStyle w:val="10"/>
      </w:pP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1.残疾人保障金绩效目标表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319001玉田县审计局本级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13022925P00JXC419700T</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62000.00</w:t>
            </w:r>
          </w:p>
        </w:tc>
        <w:tc>
          <w:tcPr>
            <w:tcW w:w="1587" w:type="dxa"/>
            <w:vAlign w:val="center"/>
          </w:tcPr>
          <w:p>
            <w:pPr>
              <w:pStyle w:val="14"/>
            </w:pPr>
            <w:r>
              <w:t>其中：财政    资金</w:t>
            </w:r>
          </w:p>
        </w:tc>
        <w:tc>
          <w:tcPr>
            <w:tcW w:w="1304" w:type="dxa"/>
            <w:vAlign w:val="center"/>
          </w:tcPr>
          <w:p>
            <w:pPr>
              <w:pStyle w:val="13"/>
            </w:pPr>
            <w:r>
              <w:t>62000.00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1.保障残疾人权益，促进残疾人就业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残疾人法律援助救助率</w:t>
            </w:r>
          </w:p>
        </w:tc>
        <w:tc>
          <w:tcPr>
            <w:tcW w:w="2891" w:type="dxa"/>
            <w:vAlign w:val="center"/>
          </w:tcPr>
          <w:p>
            <w:pPr>
              <w:pStyle w:val="13"/>
            </w:pPr>
            <w:r>
              <w:t>残疾人法律援助救助率</w:t>
            </w:r>
          </w:p>
        </w:tc>
        <w:tc>
          <w:tcPr>
            <w:tcW w:w="1276" w:type="dxa"/>
            <w:vAlign w:val="center"/>
          </w:tcPr>
          <w:p>
            <w:pPr>
              <w:pStyle w:val="13"/>
            </w:pPr>
            <w:r>
              <w:t>≥97残疾人法律援助救助率</w:t>
            </w:r>
          </w:p>
        </w:tc>
        <w:tc>
          <w:tcPr>
            <w:tcW w:w="1843"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残疾人康复服务质量</w:t>
            </w:r>
            <w:r>
              <w:tab/>
            </w:r>
          </w:p>
          <w:p>
            <w:pPr>
              <w:pStyle w:val="13"/>
            </w:pPr>
          </w:p>
        </w:tc>
        <w:tc>
          <w:tcPr>
            <w:tcW w:w="2891" w:type="dxa"/>
            <w:vAlign w:val="center"/>
          </w:tcPr>
          <w:p>
            <w:pPr>
              <w:pStyle w:val="13"/>
            </w:pPr>
            <w:r>
              <w:t>残疾人康复服务质量</w:t>
            </w:r>
            <w:r>
              <w:tab/>
            </w:r>
          </w:p>
          <w:p>
            <w:pPr>
              <w:pStyle w:val="13"/>
            </w:pPr>
          </w:p>
        </w:tc>
        <w:tc>
          <w:tcPr>
            <w:tcW w:w="1276" w:type="dxa"/>
            <w:vAlign w:val="center"/>
          </w:tcPr>
          <w:p>
            <w:pPr>
              <w:pStyle w:val="13"/>
            </w:pPr>
            <w:r>
              <w:t>≥98残疾人康复服务质量</w:t>
            </w:r>
            <w:r>
              <w:tab/>
            </w:r>
          </w:p>
          <w:p>
            <w:pPr>
              <w:pStyle w:val="13"/>
            </w:pPr>
          </w:p>
        </w:tc>
        <w:tc>
          <w:tcPr>
            <w:tcW w:w="1843"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资金支付及时性</w:t>
            </w:r>
          </w:p>
        </w:tc>
        <w:tc>
          <w:tcPr>
            <w:tcW w:w="2891" w:type="dxa"/>
            <w:vAlign w:val="center"/>
          </w:tcPr>
          <w:p>
            <w:pPr>
              <w:pStyle w:val="13"/>
            </w:pPr>
            <w:r>
              <w:t>资金支付率</w:t>
            </w:r>
          </w:p>
        </w:tc>
        <w:tc>
          <w:tcPr>
            <w:tcW w:w="1276" w:type="dxa"/>
            <w:vAlign w:val="center"/>
          </w:tcPr>
          <w:p>
            <w:pPr>
              <w:pStyle w:val="13"/>
            </w:pPr>
            <w:r>
              <w:t>≥95资金支付率</w:t>
            </w:r>
          </w:p>
        </w:tc>
        <w:tc>
          <w:tcPr>
            <w:tcW w:w="1843"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残疾人家庭无障碍改造补助标准</w:t>
            </w:r>
          </w:p>
        </w:tc>
        <w:tc>
          <w:tcPr>
            <w:tcW w:w="2891" w:type="dxa"/>
            <w:vAlign w:val="center"/>
          </w:tcPr>
          <w:p>
            <w:pPr>
              <w:pStyle w:val="13"/>
            </w:pPr>
            <w:r>
              <w:t>残疾人家庭无障碍改造补助标准</w:t>
            </w:r>
          </w:p>
        </w:tc>
        <w:tc>
          <w:tcPr>
            <w:tcW w:w="1276" w:type="dxa"/>
            <w:vAlign w:val="center"/>
          </w:tcPr>
          <w:p>
            <w:pPr>
              <w:pStyle w:val="13"/>
            </w:pPr>
            <w:r>
              <w:t>≥97残疾人家庭无障碍改造补助标准</w:t>
            </w:r>
          </w:p>
        </w:tc>
        <w:tc>
          <w:tcPr>
            <w:tcW w:w="1843"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改善残疾人居家的无障碍环境</w:t>
            </w:r>
          </w:p>
        </w:tc>
        <w:tc>
          <w:tcPr>
            <w:tcW w:w="2891" w:type="dxa"/>
            <w:vAlign w:val="center"/>
          </w:tcPr>
          <w:p>
            <w:pPr>
              <w:pStyle w:val="13"/>
            </w:pPr>
            <w:r>
              <w:t>改善残疾人居家的无障碍环境</w:t>
            </w:r>
          </w:p>
        </w:tc>
        <w:tc>
          <w:tcPr>
            <w:tcW w:w="1276" w:type="dxa"/>
            <w:vAlign w:val="center"/>
          </w:tcPr>
          <w:p>
            <w:pPr>
              <w:pStyle w:val="13"/>
            </w:pPr>
            <w:r>
              <w:t>≥95改善残疾人居家的无障碍环境</w:t>
            </w:r>
          </w:p>
        </w:tc>
        <w:tc>
          <w:tcPr>
            <w:tcW w:w="1843"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促进残疾人体育的影响力</w:t>
            </w:r>
          </w:p>
        </w:tc>
        <w:tc>
          <w:tcPr>
            <w:tcW w:w="2891" w:type="dxa"/>
            <w:vAlign w:val="center"/>
          </w:tcPr>
          <w:p>
            <w:pPr>
              <w:pStyle w:val="13"/>
            </w:pPr>
            <w:r>
              <w:t>促进残疾人体育的影响力</w:t>
            </w:r>
          </w:p>
        </w:tc>
        <w:tc>
          <w:tcPr>
            <w:tcW w:w="1276" w:type="dxa"/>
            <w:vAlign w:val="center"/>
          </w:tcPr>
          <w:p>
            <w:pPr>
              <w:pStyle w:val="13"/>
            </w:pPr>
            <w:r>
              <w:t>≥96促进残疾人体育的影响力</w:t>
            </w:r>
          </w:p>
        </w:tc>
        <w:tc>
          <w:tcPr>
            <w:tcW w:w="1843"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节能环保减排</w:t>
            </w:r>
          </w:p>
        </w:tc>
        <w:tc>
          <w:tcPr>
            <w:tcW w:w="2891" w:type="dxa"/>
            <w:vAlign w:val="center"/>
          </w:tcPr>
          <w:p>
            <w:pPr>
              <w:pStyle w:val="13"/>
            </w:pPr>
            <w:r>
              <w:t>节能环保减排</w:t>
            </w:r>
          </w:p>
        </w:tc>
        <w:tc>
          <w:tcPr>
            <w:tcW w:w="1276" w:type="dxa"/>
            <w:vAlign w:val="center"/>
          </w:tcPr>
          <w:p>
            <w:pPr>
              <w:pStyle w:val="13"/>
            </w:pPr>
            <w:r>
              <w:t>≥95资源消耗</w:t>
            </w:r>
          </w:p>
        </w:tc>
        <w:tc>
          <w:tcPr>
            <w:tcW w:w="1843"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任务计划完成率</w:t>
            </w:r>
          </w:p>
        </w:tc>
        <w:tc>
          <w:tcPr>
            <w:tcW w:w="2891" w:type="dxa"/>
            <w:vAlign w:val="center"/>
          </w:tcPr>
          <w:p>
            <w:pPr>
              <w:pStyle w:val="13"/>
            </w:pPr>
            <w:r>
              <w:t>任务计划完成率</w:t>
            </w:r>
          </w:p>
        </w:tc>
        <w:tc>
          <w:tcPr>
            <w:tcW w:w="1276" w:type="dxa"/>
            <w:vAlign w:val="center"/>
          </w:tcPr>
          <w:p>
            <w:pPr>
              <w:pStyle w:val="13"/>
            </w:pPr>
            <w:r>
              <w:t>≥97可持续性</w:t>
            </w:r>
          </w:p>
        </w:tc>
        <w:tc>
          <w:tcPr>
            <w:tcW w:w="1843"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≥95满意度</w:t>
            </w:r>
          </w:p>
        </w:tc>
        <w:tc>
          <w:tcPr>
            <w:tcW w:w="1843" w:type="dxa"/>
            <w:vAlign w:val="center"/>
          </w:tcPr>
          <w:p>
            <w:pPr>
              <w:pStyle w:val="13"/>
            </w:pPr>
            <w:r>
              <w:t>依据相关法律法规</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2.聘请第三方审计工作经费绩效目标表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319001玉田县审计局本级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13022925P00JXC410212K</w:t>
            </w:r>
          </w:p>
        </w:tc>
        <w:tc>
          <w:tcPr>
            <w:tcW w:w="1587" w:type="dxa"/>
            <w:vAlign w:val="center"/>
          </w:tcPr>
          <w:p>
            <w:pPr>
              <w:pStyle w:val="14"/>
            </w:pPr>
            <w:r>
              <w:t>项目名称</w:t>
            </w:r>
          </w:p>
        </w:tc>
        <w:tc>
          <w:tcPr>
            <w:tcW w:w="4423" w:type="dxa"/>
            <w:gridSpan w:val="3"/>
            <w:vAlign w:val="center"/>
          </w:tcPr>
          <w:p>
            <w:pPr>
              <w:pStyle w:val="13"/>
            </w:pPr>
            <w:r>
              <w:t>聘请第三方审计工作经费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260928.00</w:t>
            </w:r>
          </w:p>
        </w:tc>
        <w:tc>
          <w:tcPr>
            <w:tcW w:w="1587" w:type="dxa"/>
            <w:vAlign w:val="center"/>
          </w:tcPr>
          <w:p>
            <w:pPr>
              <w:pStyle w:val="14"/>
            </w:pPr>
            <w:r>
              <w:t>其中：财政    资金</w:t>
            </w:r>
          </w:p>
        </w:tc>
        <w:tc>
          <w:tcPr>
            <w:tcW w:w="1304" w:type="dxa"/>
            <w:vAlign w:val="center"/>
          </w:tcPr>
          <w:p>
            <w:pPr>
              <w:pStyle w:val="13"/>
            </w:pPr>
            <w:r>
              <w:t>260928.00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聘请第三方审计工作经费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1.保障审计工作正常开展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费用支撑审计项目数量</w:t>
            </w:r>
          </w:p>
        </w:tc>
        <w:tc>
          <w:tcPr>
            <w:tcW w:w="2891" w:type="dxa"/>
            <w:vAlign w:val="center"/>
          </w:tcPr>
          <w:p>
            <w:pPr>
              <w:pStyle w:val="13"/>
            </w:pPr>
            <w:r>
              <w:t>按计划完成审计项目数量</w:t>
            </w:r>
          </w:p>
        </w:tc>
        <w:tc>
          <w:tcPr>
            <w:tcW w:w="1276" w:type="dxa"/>
            <w:vAlign w:val="center"/>
          </w:tcPr>
          <w:p>
            <w:pPr>
              <w:pStyle w:val="13"/>
            </w:pPr>
            <w:r>
              <w:t>≥95实际项目数量</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审计出问题更具有典型性</w:t>
            </w:r>
          </w:p>
        </w:tc>
        <w:tc>
          <w:tcPr>
            <w:tcW w:w="2891" w:type="dxa"/>
            <w:vAlign w:val="center"/>
          </w:tcPr>
          <w:p>
            <w:pPr>
              <w:pStyle w:val="13"/>
            </w:pPr>
            <w:r>
              <w:t>按要求突出审计问题典型性</w:t>
            </w:r>
          </w:p>
        </w:tc>
        <w:tc>
          <w:tcPr>
            <w:tcW w:w="1276" w:type="dxa"/>
            <w:vAlign w:val="center"/>
          </w:tcPr>
          <w:p>
            <w:pPr>
              <w:pStyle w:val="13"/>
            </w:pPr>
            <w:r>
              <w:t>≥97报告质量</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提高审计项目单位产出量</w:t>
            </w:r>
          </w:p>
        </w:tc>
        <w:tc>
          <w:tcPr>
            <w:tcW w:w="2891" w:type="dxa"/>
            <w:vAlign w:val="center"/>
          </w:tcPr>
          <w:p>
            <w:pPr>
              <w:pStyle w:val="13"/>
            </w:pPr>
            <w:r>
              <w:t>按时限完成</w:t>
            </w:r>
          </w:p>
        </w:tc>
        <w:tc>
          <w:tcPr>
            <w:tcW w:w="1276" w:type="dxa"/>
            <w:vAlign w:val="center"/>
          </w:tcPr>
          <w:p>
            <w:pPr>
              <w:pStyle w:val="13"/>
            </w:pPr>
            <w:r>
              <w:t>≥98项目按时完成</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进一步缩减审计事业费有</w:t>
            </w:r>
          </w:p>
        </w:tc>
        <w:tc>
          <w:tcPr>
            <w:tcW w:w="2891" w:type="dxa"/>
            <w:vAlign w:val="center"/>
          </w:tcPr>
          <w:p>
            <w:pPr>
              <w:pStyle w:val="13"/>
            </w:pPr>
            <w:r>
              <w:t>缩减经费支出</w:t>
            </w:r>
          </w:p>
        </w:tc>
        <w:tc>
          <w:tcPr>
            <w:tcW w:w="1276" w:type="dxa"/>
            <w:vAlign w:val="center"/>
          </w:tcPr>
          <w:p>
            <w:pPr>
              <w:pStyle w:val="13"/>
            </w:pPr>
            <w:r>
              <w:t>≥95案卷成本</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提高财政资金使用价值</w:t>
            </w:r>
          </w:p>
        </w:tc>
        <w:tc>
          <w:tcPr>
            <w:tcW w:w="2891" w:type="dxa"/>
            <w:vAlign w:val="center"/>
          </w:tcPr>
          <w:p>
            <w:pPr>
              <w:pStyle w:val="13"/>
            </w:pPr>
            <w:r>
              <w:t>避免财政资金损失浪费</w:t>
            </w:r>
          </w:p>
        </w:tc>
        <w:tc>
          <w:tcPr>
            <w:tcW w:w="1276" w:type="dxa"/>
            <w:vAlign w:val="center"/>
          </w:tcPr>
          <w:p>
            <w:pPr>
              <w:pStyle w:val="13"/>
            </w:pPr>
            <w:r>
              <w:t>≥96报告发现问题及整改情况</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加强民生项目审计</w:t>
            </w:r>
          </w:p>
        </w:tc>
        <w:tc>
          <w:tcPr>
            <w:tcW w:w="2891" w:type="dxa"/>
            <w:vAlign w:val="center"/>
          </w:tcPr>
          <w:p>
            <w:pPr>
              <w:pStyle w:val="13"/>
            </w:pPr>
            <w:r>
              <w:t>认识审计带来的效益</w:t>
            </w:r>
          </w:p>
        </w:tc>
        <w:tc>
          <w:tcPr>
            <w:tcW w:w="1276" w:type="dxa"/>
            <w:vAlign w:val="center"/>
          </w:tcPr>
          <w:p>
            <w:pPr>
              <w:pStyle w:val="13"/>
            </w:pPr>
            <w:r>
              <w:t>≥95全面认识审计重要</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提高资源环境审计技术水平</w:t>
            </w:r>
          </w:p>
        </w:tc>
        <w:tc>
          <w:tcPr>
            <w:tcW w:w="2891" w:type="dxa"/>
            <w:vAlign w:val="center"/>
          </w:tcPr>
          <w:p>
            <w:pPr>
              <w:pStyle w:val="13"/>
            </w:pPr>
            <w:r>
              <w:t>减少资源浪费</w:t>
            </w:r>
          </w:p>
        </w:tc>
        <w:tc>
          <w:tcPr>
            <w:tcW w:w="1276" w:type="dxa"/>
            <w:vAlign w:val="center"/>
          </w:tcPr>
          <w:p>
            <w:pPr>
              <w:pStyle w:val="13"/>
            </w:pPr>
            <w:r>
              <w:t>≥90资源消耗</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审计过程与目标注重长远性</w:t>
            </w:r>
          </w:p>
        </w:tc>
        <w:tc>
          <w:tcPr>
            <w:tcW w:w="2891" w:type="dxa"/>
            <w:vAlign w:val="center"/>
          </w:tcPr>
          <w:p>
            <w:pPr>
              <w:pStyle w:val="13"/>
            </w:pPr>
            <w:r>
              <w:t>拓宽审计思路，创新审计方法</w:t>
            </w:r>
          </w:p>
        </w:tc>
        <w:tc>
          <w:tcPr>
            <w:tcW w:w="1276" w:type="dxa"/>
            <w:vAlign w:val="center"/>
          </w:tcPr>
          <w:p>
            <w:pPr>
              <w:pStyle w:val="13"/>
            </w:pPr>
            <w:r>
              <w:t>≥94拓宽审计发展创新审计方法</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得到县委县政府的高度认可</w:t>
            </w:r>
          </w:p>
        </w:tc>
        <w:tc>
          <w:tcPr>
            <w:tcW w:w="2891" w:type="dxa"/>
            <w:vAlign w:val="center"/>
          </w:tcPr>
          <w:p>
            <w:pPr>
              <w:pStyle w:val="13"/>
            </w:pPr>
            <w:r>
              <w:t>规范财务管理</w:t>
            </w:r>
          </w:p>
        </w:tc>
        <w:tc>
          <w:tcPr>
            <w:tcW w:w="1276" w:type="dxa"/>
            <w:vAlign w:val="center"/>
          </w:tcPr>
          <w:p>
            <w:pPr>
              <w:pStyle w:val="13"/>
            </w:pPr>
            <w:r>
              <w:t>≥95满意程度</w:t>
            </w:r>
          </w:p>
        </w:tc>
        <w:tc>
          <w:tcPr>
            <w:tcW w:w="1843" w:type="dxa"/>
            <w:vAlign w:val="center"/>
          </w:tcPr>
          <w:p>
            <w:pPr>
              <w:pStyle w:val="13"/>
            </w:pPr>
            <w:r>
              <w:t>2025年省、市审计计划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3.审计事业费和配合市审计专项工作绩效目标表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319001玉田县审计局本级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13022925P00JXC4102110</w:t>
            </w:r>
          </w:p>
        </w:tc>
        <w:tc>
          <w:tcPr>
            <w:tcW w:w="1587" w:type="dxa"/>
            <w:vAlign w:val="center"/>
          </w:tcPr>
          <w:p>
            <w:pPr>
              <w:pStyle w:val="14"/>
            </w:pPr>
            <w:r>
              <w:t>项目名称</w:t>
            </w:r>
          </w:p>
        </w:tc>
        <w:tc>
          <w:tcPr>
            <w:tcW w:w="4423" w:type="dxa"/>
            <w:gridSpan w:val="3"/>
            <w:vAlign w:val="center"/>
          </w:tcPr>
          <w:p>
            <w:pPr>
              <w:pStyle w:val="13"/>
            </w:pPr>
            <w:r>
              <w:t>审计事业费和配合市审计专项工作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审计业务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1.保障审计工作正常开展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费用支撑审计项目数量</w:t>
            </w:r>
          </w:p>
        </w:tc>
        <w:tc>
          <w:tcPr>
            <w:tcW w:w="2891" w:type="dxa"/>
            <w:vAlign w:val="center"/>
          </w:tcPr>
          <w:p>
            <w:pPr>
              <w:pStyle w:val="13"/>
            </w:pPr>
            <w:r>
              <w:t>按计划完成审计项目数量</w:t>
            </w:r>
          </w:p>
        </w:tc>
        <w:tc>
          <w:tcPr>
            <w:tcW w:w="1276" w:type="dxa"/>
            <w:vAlign w:val="center"/>
          </w:tcPr>
          <w:p>
            <w:pPr>
              <w:pStyle w:val="13"/>
            </w:pPr>
            <w:r>
              <w:t>≥95实际项目数量</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审计出问题更具有典型性</w:t>
            </w:r>
          </w:p>
        </w:tc>
        <w:tc>
          <w:tcPr>
            <w:tcW w:w="2891" w:type="dxa"/>
            <w:vAlign w:val="center"/>
          </w:tcPr>
          <w:p>
            <w:pPr>
              <w:pStyle w:val="13"/>
            </w:pPr>
            <w:r>
              <w:t>按要求突出审计问题典型性</w:t>
            </w:r>
          </w:p>
        </w:tc>
        <w:tc>
          <w:tcPr>
            <w:tcW w:w="1276" w:type="dxa"/>
            <w:vAlign w:val="center"/>
          </w:tcPr>
          <w:p>
            <w:pPr>
              <w:pStyle w:val="13"/>
            </w:pPr>
            <w:r>
              <w:t>≥97报告质量</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提高审计项目单位产出量</w:t>
            </w:r>
          </w:p>
        </w:tc>
        <w:tc>
          <w:tcPr>
            <w:tcW w:w="2891" w:type="dxa"/>
            <w:vAlign w:val="center"/>
          </w:tcPr>
          <w:p>
            <w:pPr>
              <w:pStyle w:val="13"/>
            </w:pPr>
            <w:r>
              <w:t>按时限完成</w:t>
            </w:r>
          </w:p>
        </w:tc>
        <w:tc>
          <w:tcPr>
            <w:tcW w:w="1276" w:type="dxa"/>
            <w:vAlign w:val="center"/>
          </w:tcPr>
          <w:p>
            <w:pPr>
              <w:pStyle w:val="13"/>
            </w:pPr>
            <w:r>
              <w:t>≥98项目按时完成</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进一步缩减审计事业费有</w:t>
            </w:r>
          </w:p>
        </w:tc>
        <w:tc>
          <w:tcPr>
            <w:tcW w:w="2891" w:type="dxa"/>
            <w:vAlign w:val="center"/>
          </w:tcPr>
          <w:p>
            <w:pPr>
              <w:pStyle w:val="13"/>
            </w:pPr>
            <w:r>
              <w:t>缩减经费支出</w:t>
            </w:r>
          </w:p>
        </w:tc>
        <w:tc>
          <w:tcPr>
            <w:tcW w:w="1276" w:type="dxa"/>
            <w:vAlign w:val="center"/>
          </w:tcPr>
          <w:p>
            <w:pPr>
              <w:pStyle w:val="13"/>
            </w:pPr>
            <w:r>
              <w:t>≥95案卷成本</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提高财政资金使用价值</w:t>
            </w:r>
          </w:p>
        </w:tc>
        <w:tc>
          <w:tcPr>
            <w:tcW w:w="2891" w:type="dxa"/>
            <w:vAlign w:val="center"/>
          </w:tcPr>
          <w:p>
            <w:pPr>
              <w:pStyle w:val="13"/>
            </w:pPr>
            <w:r>
              <w:t>避免财政资金损失浪费</w:t>
            </w:r>
          </w:p>
        </w:tc>
        <w:tc>
          <w:tcPr>
            <w:tcW w:w="1276" w:type="dxa"/>
            <w:vAlign w:val="center"/>
          </w:tcPr>
          <w:p>
            <w:pPr>
              <w:pStyle w:val="13"/>
            </w:pPr>
            <w:r>
              <w:t>≥96报告发现问题及整改情况</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加强民生项目审计</w:t>
            </w:r>
          </w:p>
        </w:tc>
        <w:tc>
          <w:tcPr>
            <w:tcW w:w="2891" w:type="dxa"/>
            <w:vAlign w:val="center"/>
          </w:tcPr>
          <w:p>
            <w:pPr>
              <w:pStyle w:val="13"/>
            </w:pPr>
            <w:r>
              <w:t>认识审计带来的效益</w:t>
            </w:r>
          </w:p>
        </w:tc>
        <w:tc>
          <w:tcPr>
            <w:tcW w:w="1276" w:type="dxa"/>
            <w:vAlign w:val="center"/>
          </w:tcPr>
          <w:p>
            <w:pPr>
              <w:pStyle w:val="13"/>
            </w:pPr>
            <w:r>
              <w:t>≥95全面认识审计重要</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提高资源环境审计技术水平</w:t>
            </w:r>
          </w:p>
        </w:tc>
        <w:tc>
          <w:tcPr>
            <w:tcW w:w="2891" w:type="dxa"/>
            <w:vAlign w:val="center"/>
          </w:tcPr>
          <w:p>
            <w:pPr>
              <w:pStyle w:val="13"/>
            </w:pPr>
            <w:r>
              <w:t>减少资源浪费</w:t>
            </w:r>
          </w:p>
        </w:tc>
        <w:tc>
          <w:tcPr>
            <w:tcW w:w="1276" w:type="dxa"/>
            <w:vAlign w:val="center"/>
          </w:tcPr>
          <w:p>
            <w:pPr>
              <w:pStyle w:val="13"/>
            </w:pPr>
            <w:r>
              <w:t>≥90资源消耗</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审计过程与目标注重长远性</w:t>
            </w:r>
          </w:p>
        </w:tc>
        <w:tc>
          <w:tcPr>
            <w:tcW w:w="2891" w:type="dxa"/>
            <w:vAlign w:val="center"/>
          </w:tcPr>
          <w:p>
            <w:pPr>
              <w:pStyle w:val="13"/>
            </w:pPr>
            <w:r>
              <w:t>拓宽审计思路，创新审计方法</w:t>
            </w:r>
          </w:p>
        </w:tc>
        <w:tc>
          <w:tcPr>
            <w:tcW w:w="1276" w:type="dxa"/>
            <w:vAlign w:val="center"/>
          </w:tcPr>
          <w:p>
            <w:pPr>
              <w:pStyle w:val="13"/>
            </w:pPr>
            <w:r>
              <w:t>≥94拓宽审计发展创新审计方法</w:t>
            </w:r>
          </w:p>
        </w:tc>
        <w:tc>
          <w:tcPr>
            <w:tcW w:w="1843"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得到县委县政府的高度认可</w:t>
            </w:r>
          </w:p>
        </w:tc>
        <w:tc>
          <w:tcPr>
            <w:tcW w:w="2891" w:type="dxa"/>
            <w:vAlign w:val="center"/>
          </w:tcPr>
          <w:p>
            <w:pPr>
              <w:pStyle w:val="13"/>
            </w:pPr>
            <w:r>
              <w:t>规范财务管理</w:t>
            </w:r>
          </w:p>
        </w:tc>
        <w:tc>
          <w:tcPr>
            <w:tcW w:w="1276" w:type="dxa"/>
            <w:vAlign w:val="center"/>
          </w:tcPr>
          <w:p>
            <w:pPr>
              <w:pStyle w:val="13"/>
            </w:pPr>
            <w:r>
              <w:t>≥95满意程度</w:t>
            </w:r>
          </w:p>
        </w:tc>
        <w:tc>
          <w:tcPr>
            <w:tcW w:w="1843" w:type="dxa"/>
            <w:vAlign w:val="center"/>
          </w:tcPr>
          <w:p>
            <w:pPr>
              <w:pStyle w:val="13"/>
            </w:pPr>
            <w:r>
              <w:t>2025年省、市审计计划</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DFC50B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TotalTime>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2025-01-17T18:14:00Z</dcterms:created>
  <dc:creator>11s'l</dc:creator>
  <cp:lastModifiedBy>11s'l</cp:lastModifiedBy>
  <dcterms:modified xsi:type="dcterms:W3CDTF">2025-01-23T07:03:20Z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