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一、玉田县陈家铺镇人民政府本级收支预算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一、玉田县陈家铺镇人民政府本级收支预算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10564901.58</w:t>
            </w:r>
          </w:p>
        </w:tc>
        <w:tc>
          <w:tcPr>
            <w:tcW w:w="4535" w:type="dxa"/>
            <w:vAlign w:val="center"/>
          </w:tcPr>
          <w:p>
            <w:pPr>
              <w:pStyle w:val="12"/>
            </w:pPr>
            <w:r>
              <w:t>一、一般公共服务支出</w:t>
            </w:r>
          </w:p>
        </w:tc>
        <w:tc>
          <w:tcPr>
            <w:tcW w:w="2126" w:type="dxa"/>
            <w:vAlign w:val="center"/>
          </w:tcPr>
          <w:p>
            <w:pPr>
              <w:pStyle w:val="11"/>
            </w:pPr>
            <w:r>
              <w:t>10491901.58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10564901.58</w:t>
            </w:r>
          </w:p>
        </w:tc>
        <w:tc>
          <w:tcPr>
            <w:tcW w:w="4535" w:type="dxa"/>
            <w:vAlign w:val="center"/>
          </w:tcPr>
          <w:p>
            <w:pPr>
              <w:pStyle w:val="14"/>
            </w:pPr>
            <w:r>
              <w:t>本年支出合计</w:t>
            </w:r>
          </w:p>
        </w:tc>
        <w:tc>
          <w:tcPr>
            <w:tcW w:w="2126" w:type="dxa"/>
            <w:vAlign w:val="center"/>
          </w:tcPr>
          <w:p>
            <w:pPr>
              <w:pStyle w:val="15"/>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10564901.58</w:t>
            </w:r>
          </w:p>
        </w:tc>
        <w:tc>
          <w:tcPr>
            <w:tcW w:w="4535" w:type="dxa"/>
            <w:vAlign w:val="center"/>
          </w:tcPr>
          <w:p>
            <w:pPr>
              <w:pStyle w:val="14"/>
            </w:pPr>
            <w:r>
              <w:t>支出总计</w:t>
            </w:r>
          </w:p>
        </w:tc>
        <w:tc>
          <w:tcPr>
            <w:tcW w:w="2126" w:type="dxa"/>
            <w:vAlign w:val="center"/>
          </w:tcPr>
          <w:p>
            <w:pPr>
              <w:pStyle w:val="15"/>
            </w:pPr>
            <w:r>
              <w:t>10564901.58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10564901.58</w:t>
            </w:r>
          </w:p>
        </w:tc>
        <w:tc>
          <w:tcPr>
            <w:tcW w:w="1134" w:type="dxa"/>
            <w:vAlign w:val="center"/>
          </w:tcPr>
          <w:p>
            <w:pPr>
              <w:pStyle w:val="15"/>
            </w:pPr>
            <w:r>
              <w:t>10564901.58</w:t>
            </w:r>
          </w:p>
        </w:tc>
        <w:tc>
          <w:tcPr>
            <w:tcW w:w="1134" w:type="dxa"/>
            <w:vAlign w:val="center"/>
          </w:tcPr>
          <w:p>
            <w:pPr>
              <w:pStyle w:val="15"/>
            </w:pPr>
            <w:r>
              <w:t>10564901.58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10491901.58</w:t>
            </w:r>
          </w:p>
        </w:tc>
        <w:tc>
          <w:tcPr>
            <w:tcW w:w="1134" w:type="dxa"/>
            <w:vAlign w:val="center"/>
          </w:tcPr>
          <w:p>
            <w:pPr>
              <w:pStyle w:val="11"/>
            </w:pPr>
            <w:r>
              <w:t>10491901.58</w:t>
            </w:r>
          </w:p>
        </w:tc>
        <w:tc>
          <w:tcPr>
            <w:tcW w:w="1134" w:type="dxa"/>
            <w:vAlign w:val="center"/>
          </w:tcPr>
          <w:p>
            <w:pPr>
              <w:pStyle w:val="11"/>
            </w:pPr>
            <w:r>
              <w:t>10491901.58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10471901.58</w:t>
            </w:r>
          </w:p>
        </w:tc>
        <w:tc>
          <w:tcPr>
            <w:tcW w:w="1134" w:type="dxa"/>
            <w:vAlign w:val="center"/>
          </w:tcPr>
          <w:p>
            <w:pPr>
              <w:pStyle w:val="11"/>
            </w:pPr>
            <w:r>
              <w:t>10471901.58</w:t>
            </w:r>
          </w:p>
        </w:tc>
        <w:tc>
          <w:tcPr>
            <w:tcW w:w="1134" w:type="dxa"/>
            <w:vAlign w:val="center"/>
          </w:tcPr>
          <w:p>
            <w:pPr>
              <w:pStyle w:val="11"/>
            </w:pPr>
            <w:r>
              <w:t>10471901.58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10471901.58</w:t>
            </w:r>
          </w:p>
        </w:tc>
        <w:tc>
          <w:tcPr>
            <w:tcW w:w="1134" w:type="dxa"/>
            <w:vAlign w:val="center"/>
          </w:tcPr>
          <w:p>
            <w:pPr>
              <w:pStyle w:val="11"/>
            </w:pPr>
            <w:r>
              <w:t>10471901.58</w:t>
            </w:r>
          </w:p>
        </w:tc>
        <w:tc>
          <w:tcPr>
            <w:tcW w:w="1134" w:type="dxa"/>
            <w:vAlign w:val="center"/>
          </w:tcPr>
          <w:p>
            <w:pPr>
              <w:pStyle w:val="11"/>
            </w:pPr>
            <w:r>
              <w:t>10471901.58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73000.00</w:t>
            </w:r>
          </w:p>
        </w:tc>
        <w:tc>
          <w:tcPr>
            <w:tcW w:w="1134" w:type="dxa"/>
            <w:vAlign w:val="center"/>
          </w:tcPr>
          <w:p>
            <w:pPr>
              <w:pStyle w:val="11"/>
            </w:pPr>
            <w:r>
              <w:t>73000.00</w:t>
            </w:r>
          </w:p>
        </w:tc>
        <w:tc>
          <w:tcPr>
            <w:tcW w:w="1134" w:type="dxa"/>
            <w:vAlign w:val="center"/>
          </w:tcPr>
          <w:p>
            <w:pPr>
              <w:pStyle w:val="11"/>
            </w:pPr>
            <w:r>
              <w:t>73000.00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73000.00</w:t>
            </w:r>
          </w:p>
        </w:tc>
        <w:tc>
          <w:tcPr>
            <w:tcW w:w="1134" w:type="dxa"/>
            <w:vAlign w:val="center"/>
          </w:tcPr>
          <w:p>
            <w:pPr>
              <w:pStyle w:val="11"/>
            </w:pPr>
            <w:r>
              <w:t>73000.00</w:t>
            </w:r>
          </w:p>
        </w:tc>
        <w:tc>
          <w:tcPr>
            <w:tcW w:w="1134" w:type="dxa"/>
            <w:vAlign w:val="center"/>
          </w:tcPr>
          <w:p>
            <w:pPr>
              <w:pStyle w:val="11"/>
            </w:pPr>
            <w:r>
              <w:t>73000.00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73000.00</w:t>
            </w:r>
          </w:p>
        </w:tc>
        <w:tc>
          <w:tcPr>
            <w:tcW w:w="1134" w:type="dxa"/>
            <w:vAlign w:val="center"/>
          </w:tcPr>
          <w:p>
            <w:pPr>
              <w:pStyle w:val="11"/>
            </w:pPr>
            <w:r>
              <w:t>73000.00</w:t>
            </w:r>
          </w:p>
        </w:tc>
        <w:tc>
          <w:tcPr>
            <w:tcW w:w="1134" w:type="dxa"/>
            <w:vAlign w:val="center"/>
          </w:tcPr>
          <w:p>
            <w:pPr>
              <w:pStyle w:val="11"/>
            </w:pPr>
            <w:r>
              <w:t>73000.00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10564901.58</w:t>
            </w:r>
          </w:p>
        </w:tc>
        <w:tc>
          <w:tcPr>
            <w:tcW w:w="1361" w:type="dxa"/>
            <w:vAlign w:val="center"/>
          </w:tcPr>
          <w:p>
            <w:pPr>
              <w:pStyle w:val="15"/>
            </w:pPr>
            <w:r>
              <w:t>10401901.58</w:t>
            </w:r>
          </w:p>
        </w:tc>
        <w:tc>
          <w:tcPr>
            <w:tcW w:w="1361" w:type="dxa"/>
            <w:vAlign w:val="center"/>
          </w:tcPr>
          <w:p>
            <w:pPr>
              <w:pStyle w:val="15"/>
            </w:pPr>
            <w:r>
              <w:t>163000.00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10491901.58</w:t>
            </w:r>
          </w:p>
        </w:tc>
        <w:tc>
          <w:tcPr>
            <w:tcW w:w="1361" w:type="dxa"/>
            <w:vAlign w:val="center"/>
          </w:tcPr>
          <w:p>
            <w:pPr>
              <w:pStyle w:val="11"/>
            </w:pPr>
            <w:r>
              <w:t>10401901.58</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10471901.58</w:t>
            </w:r>
          </w:p>
        </w:tc>
        <w:tc>
          <w:tcPr>
            <w:tcW w:w="1361" w:type="dxa"/>
            <w:vAlign w:val="center"/>
          </w:tcPr>
          <w:p>
            <w:pPr>
              <w:pStyle w:val="11"/>
            </w:pPr>
            <w:r>
              <w:t>10401901.58</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10471901.58</w:t>
            </w:r>
          </w:p>
        </w:tc>
        <w:tc>
          <w:tcPr>
            <w:tcW w:w="1361" w:type="dxa"/>
            <w:vAlign w:val="center"/>
          </w:tcPr>
          <w:p>
            <w:pPr>
              <w:pStyle w:val="11"/>
            </w:pPr>
            <w:r>
              <w:t>10401901.58</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73000.00</w:t>
            </w:r>
          </w:p>
        </w:tc>
        <w:tc>
          <w:tcPr>
            <w:tcW w:w="1361" w:type="dxa"/>
            <w:vAlign w:val="center"/>
          </w:tcPr>
          <w:p>
            <w:pPr>
              <w:pStyle w:val="11"/>
            </w:pPr>
          </w:p>
        </w:tc>
        <w:tc>
          <w:tcPr>
            <w:tcW w:w="1361" w:type="dxa"/>
            <w:vAlign w:val="center"/>
          </w:tcPr>
          <w:p>
            <w:pPr>
              <w:pStyle w:val="11"/>
            </w:pPr>
            <w:r>
              <w:t>73000.00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73000.00</w:t>
            </w:r>
          </w:p>
        </w:tc>
        <w:tc>
          <w:tcPr>
            <w:tcW w:w="1361" w:type="dxa"/>
            <w:vAlign w:val="center"/>
          </w:tcPr>
          <w:p>
            <w:pPr>
              <w:pStyle w:val="11"/>
            </w:pPr>
          </w:p>
        </w:tc>
        <w:tc>
          <w:tcPr>
            <w:tcW w:w="1361" w:type="dxa"/>
            <w:vAlign w:val="center"/>
          </w:tcPr>
          <w:p>
            <w:pPr>
              <w:pStyle w:val="11"/>
            </w:pPr>
            <w:r>
              <w:t>73000.00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73000.00</w:t>
            </w:r>
          </w:p>
        </w:tc>
        <w:tc>
          <w:tcPr>
            <w:tcW w:w="1361" w:type="dxa"/>
            <w:vAlign w:val="center"/>
          </w:tcPr>
          <w:p>
            <w:pPr>
              <w:pStyle w:val="11"/>
            </w:pPr>
          </w:p>
        </w:tc>
        <w:tc>
          <w:tcPr>
            <w:tcW w:w="1361" w:type="dxa"/>
            <w:vAlign w:val="center"/>
          </w:tcPr>
          <w:p>
            <w:pPr>
              <w:pStyle w:val="11"/>
            </w:pPr>
            <w:r>
              <w:t>73000.00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10564901.58</w:t>
            </w:r>
          </w:p>
        </w:tc>
        <w:tc>
          <w:tcPr>
            <w:tcW w:w="3402" w:type="dxa"/>
            <w:vAlign w:val="center"/>
          </w:tcPr>
          <w:p>
            <w:pPr>
              <w:pStyle w:val="12"/>
            </w:pPr>
            <w:r>
              <w:t>一、一般公共服务支出</w:t>
            </w:r>
          </w:p>
        </w:tc>
        <w:tc>
          <w:tcPr>
            <w:tcW w:w="1474" w:type="dxa"/>
            <w:vAlign w:val="center"/>
          </w:tcPr>
          <w:p>
            <w:pPr>
              <w:pStyle w:val="11"/>
            </w:pPr>
            <w:r>
              <w:t>10491901.58</w:t>
            </w:r>
          </w:p>
        </w:tc>
        <w:tc>
          <w:tcPr>
            <w:tcW w:w="1474" w:type="dxa"/>
            <w:vAlign w:val="center"/>
          </w:tcPr>
          <w:p>
            <w:pPr>
              <w:pStyle w:val="11"/>
            </w:pPr>
            <w:r>
              <w:t>10491901.58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73000.00</w:t>
            </w:r>
          </w:p>
        </w:tc>
        <w:tc>
          <w:tcPr>
            <w:tcW w:w="1474" w:type="dxa"/>
            <w:vAlign w:val="center"/>
          </w:tcPr>
          <w:p>
            <w:pPr>
              <w:pStyle w:val="11"/>
            </w:pPr>
            <w:r>
              <w:t>73000.00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10564901.58</w:t>
            </w:r>
          </w:p>
        </w:tc>
        <w:tc>
          <w:tcPr>
            <w:tcW w:w="3402" w:type="dxa"/>
            <w:vAlign w:val="center"/>
          </w:tcPr>
          <w:p>
            <w:pPr>
              <w:pStyle w:val="14"/>
            </w:pPr>
            <w:r>
              <w:t>本年支出合计</w:t>
            </w:r>
          </w:p>
        </w:tc>
        <w:tc>
          <w:tcPr>
            <w:tcW w:w="1474" w:type="dxa"/>
            <w:vAlign w:val="center"/>
          </w:tcPr>
          <w:p>
            <w:pPr>
              <w:pStyle w:val="15"/>
            </w:pPr>
            <w:r>
              <w:t>10564901.58</w:t>
            </w:r>
          </w:p>
        </w:tc>
        <w:tc>
          <w:tcPr>
            <w:tcW w:w="1474" w:type="dxa"/>
            <w:vAlign w:val="center"/>
          </w:tcPr>
          <w:p>
            <w:pPr>
              <w:pStyle w:val="15"/>
            </w:pPr>
            <w:r>
              <w:t>10564901.58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10564901.58</w:t>
            </w:r>
          </w:p>
        </w:tc>
        <w:tc>
          <w:tcPr>
            <w:tcW w:w="3402" w:type="dxa"/>
            <w:vAlign w:val="center"/>
          </w:tcPr>
          <w:p>
            <w:pPr>
              <w:pStyle w:val="14"/>
            </w:pPr>
            <w:r>
              <w:t>支出总计</w:t>
            </w:r>
          </w:p>
        </w:tc>
        <w:tc>
          <w:tcPr>
            <w:tcW w:w="1474" w:type="dxa"/>
            <w:vAlign w:val="center"/>
          </w:tcPr>
          <w:p>
            <w:pPr>
              <w:pStyle w:val="15"/>
            </w:pPr>
            <w:r>
              <w:t>10564901.58</w:t>
            </w:r>
          </w:p>
        </w:tc>
        <w:tc>
          <w:tcPr>
            <w:tcW w:w="1474" w:type="dxa"/>
            <w:vAlign w:val="center"/>
          </w:tcPr>
          <w:p>
            <w:pPr>
              <w:pStyle w:val="15"/>
            </w:pPr>
            <w:r>
              <w:t>10564901.58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10564901.58</w:t>
            </w:r>
          </w:p>
        </w:tc>
        <w:tc>
          <w:tcPr>
            <w:tcW w:w="2551" w:type="dxa"/>
            <w:vAlign w:val="center"/>
          </w:tcPr>
          <w:p>
            <w:pPr>
              <w:pStyle w:val="15"/>
            </w:pPr>
            <w:r>
              <w:t>10401901.58</w:t>
            </w:r>
          </w:p>
        </w:tc>
        <w:tc>
          <w:tcPr>
            <w:tcW w:w="2551" w:type="dxa"/>
            <w:vAlign w:val="center"/>
          </w:tcPr>
          <w:p>
            <w:pPr>
              <w:pStyle w:val="15"/>
            </w:pPr>
            <w:r>
              <w:t>163000.00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10491901.58</w:t>
            </w:r>
          </w:p>
        </w:tc>
        <w:tc>
          <w:tcPr>
            <w:tcW w:w="2551" w:type="dxa"/>
            <w:vAlign w:val="center"/>
          </w:tcPr>
          <w:p>
            <w:pPr>
              <w:pStyle w:val="11"/>
            </w:pPr>
            <w:r>
              <w:t>10401901.58</w:t>
            </w:r>
          </w:p>
        </w:tc>
        <w:tc>
          <w:tcPr>
            <w:tcW w:w="2551" w:type="dxa"/>
            <w:vAlign w:val="center"/>
          </w:tcPr>
          <w:p>
            <w:pPr>
              <w:pStyle w:val="11"/>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10471901.58</w:t>
            </w:r>
          </w:p>
        </w:tc>
        <w:tc>
          <w:tcPr>
            <w:tcW w:w="2551" w:type="dxa"/>
            <w:vAlign w:val="center"/>
          </w:tcPr>
          <w:p>
            <w:pPr>
              <w:pStyle w:val="11"/>
            </w:pPr>
            <w:r>
              <w:t>10401901.58</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10471901.58</w:t>
            </w:r>
          </w:p>
        </w:tc>
        <w:tc>
          <w:tcPr>
            <w:tcW w:w="2551" w:type="dxa"/>
            <w:vAlign w:val="center"/>
          </w:tcPr>
          <w:p>
            <w:pPr>
              <w:pStyle w:val="11"/>
            </w:pPr>
            <w:r>
              <w:t>10401901.58</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73000.00</w:t>
            </w:r>
          </w:p>
        </w:tc>
        <w:tc>
          <w:tcPr>
            <w:tcW w:w="2551" w:type="dxa"/>
            <w:vAlign w:val="center"/>
          </w:tcPr>
          <w:p>
            <w:pPr>
              <w:pStyle w:val="11"/>
            </w:pPr>
          </w:p>
        </w:tc>
        <w:tc>
          <w:tcPr>
            <w:tcW w:w="2551" w:type="dxa"/>
            <w:vAlign w:val="center"/>
          </w:tcPr>
          <w:p>
            <w:pPr>
              <w:pStyle w:val="11"/>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73000.00</w:t>
            </w:r>
          </w:p>
        </w:tc>
        <w:tc>
          <w:tcPr>
            <w:tcW w:w="2551" w:type="dxa"/>
            <w:vAlign w:val="center"/>
          </w:tcPr>
          <w:p>
            <w:pPr>
              <w:pStyle w:val="11"/>
            </w:pPr>
          </w:p>
        </w:tc>
        <w:tc>
          <w:tcPr>
            <w:tcW w:w="2551" w:type="dxa"/>
            <w:vAlign w:val="center"/>
          </w:tcPr>
          <w:p>
            <w:pPr>
              <w:pStyle w:val="11"/>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73000.00</w:t>
            </w:r>
          </w:p>
        </w:tc>
        <w:tc>
          <w:tcPr>
            <w:tcW w:w="2551" w:type="dxa"/>
            <w:vAlign w:val="center"/>
          </w:tcPr>
          <w:p>
            <w:pPr>
              <w:pStyle w:val="11"/>
            </w:pPr>
          </w:p>
        </w:tc>
        <w:tc>
          <w:tcPr>
            <w:tcW w:w="2551" w:type="dxa"/>
            <w:vAlign w:val="center"/>
          </w:tcPr>
          <w:p>
            <w:pPr>
              <w:pStyle w:val="11"/>
            </w:pPr>
            <w:r>
              <w:t>73000.00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10401901.58</w:t>
            </w:r>
          </w:p>
        </w:tc>
        <w:tc>
          <w:tcPr>
            <w:tcW w:w="2551" w:type="dxa"/>
            <w:vAlign w:val="center"/>
          </w:tcPr>
          <w:p>
            <w:pPr>
              <w:pStyle w:val="15"/>
            </w:pPr>
            <w:r>
              <w:t>9372923.58</w:t>
            </w:r>
          </w:p>
        </w:tc>
        <w:tc>
          <w:tcPr>
            <w:tcW w:w="2551" w:type="dxa"/>
            <w:vAlign w:val="center"/>
          </w:tcPr>
          <w:p>
            <w:pPr>
              <w:pStyle w:val="15"/>
            </w:pPr>
            <w:r>
              <w:t>1028978.00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9042770.58</w:t>
            </w:r>
          </w:p>
        </w:tc>
        <w:tc>
          <w:tcPr>
            <w:tcW w:w="2551" w:type="dxa"/>
            <w:vAlign w:val="center"/>
          </w:tcPr>
          <w:p>
            <w:pPr>
              <w:pStyle w:val="11"/>
            </w:pPr>
            <w:r>
              <w:t>9042770.58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2322220.57</w:t>
            </w:r>
          </w:p>
        </w:tc>
        <w:tc>
          <w:tcPr>
            <w:tcW w:w="2551" w:type="dxa"/>
            <w:vAlign w:val="center"/>
          </w:tcPr>
          <w:p>
            <w:pPr>
              <w:pStyle w:val="11"/>
            </w:pPr>
            <w:r>
              <w:t>2322220.57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1598388.00</w:t>
            </w:r>
          </w:p>
        </w:tc>
        <w:tc>
          <w:tcPr>
            <w:tcW w:w="2551" w:type="dxa"/>
            <w:vAlign w:val="center"/>
          </w:tcPr>
          <w:p>
            <w:pPr>
              <w:pStyle w:val="11"/>
            </w:pPr>
            <w:r>
              <w:t>1598388.00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413683.00</w:t>
            </w:r>
          </w:p>
        </w:tc>
        <w:tc>
          <w:tcPr>
            <w:tcW w:w="2551" w:type="dxa"/>
            <w:vAlign w:val="center"/>
          </w:tcPr>
          <w:p>
            <w:pPr>
              <w:pStyle w:val="11"/>
            </w:pPr>
            <w:r>
              <w:t>413683.00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1010786.29</w:t>
            </w:r>
          </w:p>
        </w:tc>
        <w:tc>
          <w:tcPr>
            <w:tcW w:w="2551" w:type="dxa"/>
            <w:vAlign w:val="center"/>
          </w:tcPr>
          <w:p>
            <w:pPr>
              <w:pStyle w:val="11"/>
            </w:pPr>
            <w:r>
              <w:t>1010786.29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709657.01</w:t>
            </w:r>
          </w:p>
        </w:tc>
        <w:tc>
          <w:tcPr>
            <w:tcW w:w="2551" w:type="dxa"/>
            <w:vAlign w:val="center"/>
          </w:tcPr>
          <w:p>
            <w:pPr>
              <w:pStyle w:val="11"/>
            </w:pPr>
            <w:r>
              <w:t>709657.01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396184.52</w:t>
            </w:r>
          </w:p>
        </w:tc>
        <w:tc>
          <w:tcPr>
            <w:tcW w:w="2551" w:type="dxa"/>
            <w:vAlign w:val="center"/>
          </w:tcPr>
          <w:p>
            <w:pPr>
              <w:pStyle w:val="11"/>
            </w:pPr>
            <w:r>
              <w:t>396184.52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310548.50</w:t>
            </w:r>
          </w:p>
        </w:tc>
        <w:tc>
          <w:tcPr>
            <w:tcW w:w="2551" w:type="dxa"/>
            <w:vAlign w:val="center"/>
          </w:tcPr>
          <w:p>
            <w:pPr>
              <w:pStyle w:val="11"/>
            </w:pPr>
            <w:r>
              <w:t>310548.50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77637.12</w:t>
            </w:r>
          </w:p>
        </w:tc>
        <w:tc>
          <w:tcPr>
            <w:tcW w:w="2551" w:type="dxa"/>
            <w:vAlign w:val="center"/>
          </w:tcPr>
          <w:p>
            <w:pPr>
              <w:pStyle w:val="11"/>
            </w:pPr>
            <w:r>
              <w:t>77637.12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558405.75</w:t>
            </w:r>
          </w:p>
        </w:tc>
        <w:tc>
          <w:tcPr>
            <w:tcW w:w="2551" w:type="dxa"/>
            <w:vAlign w:val="center"/>
          </w:tcPr>
          <w:p>
            <w:pPr>
              <w:pStyle w:val="11"/>
            </w:pPr>
            <w:r>
              <w:t>558405.75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1645259.82</w:t>
            </w:r>
          </w:p>
        </w:tc>
        <w:tc>
          <w:tcPr>
            <w:tcW w:w="2551" w:type="dxa"/>
            <w:vAlign w:val="center"/>
          </w:tcPr>
          <w:p>
            <w:pPr>
              <w:pStyle w:val="11"/>
            </w:pPr>
            <w:r>
              <w:t>1645259.82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1028978.00</w:t>
            </w:r>
          </w:p>
        </w:tc>
        <w:tc>
          <w:tcPr>
            <w:tcW w:w="2551" w:type="dxa"/>
            <w:vAlign w:val="center"/>
          </w:tcPr>
          <w:p>
            <w:pPr>
              <w:pStyle w:val="11"/>
            </w:pPr>
          </w:p>
        </w:tc>
        <w:tc>
          <w:tcPr>
            <w:tcW w:w="2551" w:type="dxa"/>
            <w:vAlign w:val="center"/>
          </w:tcPr>
          <w:p>
            <w:pPr>
              <w:pStyle w:val="11"/>
            </w:pPr>
            <w:r>
              <w:t>1028978.00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160000.00</w:t>
            </w:r>
          </w:p>
        </w:tc>
        <w:tc>
          <w:tcPr>
            <w:tcW w:w="2551" w:type="dxa"/>
            <w:vAlign w:val="center"/>
          </w:tcPr>
          <w:p>
            <w:pPr>
              <w:pStyle w:val="11"/>
            </w:pPr>
          </w:p>
        </w:tc>
        <w:tc>
          <w:tcPr>
            <w:tcW w:w="2551" w:type="dxa"/>
            <w:vAlign w:val="center"/>
          </w:tcPr>
          <w:p>
            <w:pPr>
              <w:pStyle w:val="11"/>
            </w:pPr>
            <w:r>
              <w:t>160000.00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32728.00</w:t>
            </w:r>
          </w:p>
        </w:tc>
        <w:tc>
          <w:tcPr>
            <w:tcW w:w="2551" w:type="dxa"/>
            <w:vAlign w:val="center"/>
          </w:tcPr>
          <w:p>
            <w:pPr>
              <w:pStyle w:val="11"/>
            </w:pPr>
          </w:p>
        </w:tc>
        <w:tc>
          <w:tcPr>
            <w:tcW w:w="2551" w:type="dxa"/>
            <w:vAlign w:val="center"/>
          </w:tcPr>
          <w:p>
            <w:pPr>
              <w:pStyle w:val="11"/>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124000.00</w:t>
            </w:r>
          </w:p>
        </w:tc>
        <w:tc>
          <w:tcPr>
            <w:tcW w:w="2551" w:type="dxa"/>
            <w:vAlign w:val="center"/>
          </w:tcPr>
          <w:p>
            <w:pPr>
              <w:pStyle w:val="11"/>
            </w:pPr>
          </w:p>
        </w:tc>
        <w:tc>
          <w:tcPr>
            <w:tcW w:w="2551" w:type="dxa"/>
            <w:vAlign w:val="center"/>
          </w:tcPr>
          <w:p>
            <w:pPr>
              <w:pStyle w:val="11"/>
            </w:pPr>
            <w:r>
              <w:t>124000.00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45600.00</w:t>
            </w:r>
          </w:p>
        </w:tc>
        <w:tc>
          <w:tcPr>
            <w:tcW w:w="2551" w:type="dxa"/>
            <w:vAlign w:val="center"/>
          </w:tcPr>
          <w:p>
            <w:pPr>
              <w:pStyle w:val="11"/>
            </w:pPr>
          </w:p>
        </w:tc>
        <w:tc>
          <w:tcPr>
            <w:tcW w:w="2551" w:type="dxa"/>
            <w:vAlign w:val="center"/>
          </w:tcPr>
          <w:p>
            <w:pPr>
              <w:pStyle w:val="11"/>
            </w:pPr>
            <w:r>
              <w:t>45600.00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57000.00</w:t>
            </w:r>
          </w:p>
        </w:tc>
        <w:tc>
          <w:tcPr>
            <w:tcW w:w="2551" w:type="dxa"/>
            <w:vAlign w:val="center"/>
          </w:tcPr>
          <w:p>
            <w:pPr>
              <w:pStyle w:val="11"/>
            </w:pPr>
          </w:p>
        </w:tc>
        <w:tc>
          <w:tcPr>
            <w:tcW w:w="2551" w:type="dxa"/>
            <w:vAlign w:val="center"/>
          </w:tcPr>
          <w:p>
            <w:pPr>
              <w:pStyle w:val="11"/>
            </w:pPr>
            <w:r>
              <w:t>57000.00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288000.00</w:t>
            </w:r>
          </w:p>
        </w:tc>
        <w:tc>
          <w:tcPr>
            <w:tcW w:w="2551" w:type="dxa"/>
            <w:vAlign w:val="center"/>
          </w:tcPr>
          <w:p>
            <w:pPr>
              <w:pStyle w:val="11"/>
            </w:pPr>
          </w:p>
        </w:tc>
        <w:tc>
          <w:tcPr>
            <w:tcW w:w="2551" w:type="dxa"/>
            <w:vAlign w:val="center"/>
          </w:tcPr>
          <w:p>
            <w:pPr>
              <w:pStyle w:val="11"/>
            </w:pPr>
            <w:r>
              <w:t>288000.00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28650.00</w:t>
            </w:r>
          </w:p>
        </w:tc>
        <w:tc>
          <w:tcPr>
            <w:tcW w:w="2551" w:type="dxa"/>
            <w:vAlign w:val="center"/>
          </w:tcPr>
          <w:p>
            <w:pPr>
              <w:pStyle w:val="11"/>
            </w:pPr>
          </w:p>
        </w:tc>
        <w:tc>
          <w:tcPr>
            <w:tcW w:w="2551" w:type="dxa"/>
            <w:vAlign w:val="center"/>
          </w:tcPr>
          <w:p>
            <w:pPr>
              <w:pStyle w:val="11"/>
            </w:pPr>
            <w:r>
              <w:t>28650.00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330153.00</w:t>
            </w:r>
          </w:p>
        </w:tc>
        <w:tc>
          <w:tcPr>
            <w:tcW w:w="2551" w:type="dxa"/>
            <w:vAlign w:val="center"/>
          </w:tcPr>
          <w:p>
            <w:pPr>
              <w:pStyle w:val="11"/>
            </w:pPr>
            <w:r>
              <w:t>330153.00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289833.00</w:t>
            </w:r>
          </w:p>
        </w:tc>
        <w:tc>
          <w:tcPr>
            <w:tcW w:w="2551" w:type="dxa"/>
            <w:vAlign w:val="center"/>
          </w:tcPr>
          <w:p>
            <w:pPr>
              <w:pStyle w:val="11"/>
            </w:pPr>
            <w:r>
              <w:t>289833.00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39600.00</w:t>
            </w:r>
          </w:p>
        </w:tc>
        <w:tc>
          <w:tcPr>
            <w:tcW w:w="2551" w:type="dxa"/>
            <w:vAlign w:val="center"/>
          </w:tcPr>
          <w:p>
            <w:pPr>
              <w:pStyle w:val="11"/>
            </w:pPr>
            <w:r>
              <w:t>39600.00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720.00</w:t>
            </w:r>
          </w:p>
        </w:tc>
        <w:tc>
          <w:tcPr>
            <w:tcW w:w="2551" w:type="dxa"/>
            <w:vAlign w:val="center"/>
          </w:tcPr>
          <w:p>
            <w:pPr>
              <w:pStyle w:val="11"/>
            </w:pPr>
            <w:r>
              <w:t>720.00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4</w:t>
            </w:r>
            <w:r>
              <w:t>3000.00</w:t>
            </w:r>
          </w:p>
        </w:tc>
        <w:tc>
          <w:tcPr>
            <w:tcW w:w="2381" w:type="dxa"/>
            <w:vAlign w:val="center"/>
          </w:tcPr>
          <w:p>
            <w:pPr>
              <w:pStyle w:val="15"/>
            </w:pPr>
            <w:r>
              <w:rPr>
                <w:rFonts w:hint="eastAsia"/>
                <w:lang w:val="en-US" w:eastAsia="zh-CN"/>
              </w:rPr>
              <w:t>4</w:t>
            </w:r>
            <w:r>
              <w:t>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玉田县陈家铺镇人民政府本级2025年单位预算信息公开情况说明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按照《中华人民共和国预算法》、《地方预决算公开操作规程》和《关于进一步推进预算公开工作的实施意见》规定，现将玉田县陈家铺镇人民政府本级2025年单位预算公开如下：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根据《玉田县陈家铺乡人民政府职能配置、内设机构和人员编制规定》， 玉田县陈家铺乡人民政府的主要职责是：</w:t>
      </w:r>
    </w:p>
    <w:p>
      <w:pPr>
        <w:pStyle w:val="17"/>
      </w:pPr>
      <w:r>
        <w:t>玉田县陈家铺镇</w:t>
      </w:r>
    </w:p>
    <w:p>
      <w:pPr>
        <w:pStyle w:val="17"/>
      </w:pPr>
      <w:r>
        <w:t>职能配置、机构设置和人员编制规定</w:t>
      </w:r>
    </w:p>
    <w:p>
      <w:pPr>
        <w:pStyle w:val="17"/>
      </w:pPr>
      <w:r>
        <w:t>第一条为了规范陈家铺镇的职能配置、机构设置和人员编制、推进机构、职能、权限、程序、责任法定化、根据唐山市委、市政府批准的《玉田县机构改革方案》和《中国共产党机构编制工作条例)《中共河北省委机构编制管理规定》以及党中央和省委、市委、县委对乡镇工作的有关要求，制定本规定。</w:t>
      </w:r>
    </w:p>
    <w:p>
      <w:pPr>
        <w:pStyle w:val="17"/>
      </w:pPr>
      <w:r>
        <w:t>第二条 陈家铺镇党委是党在农村的基层组织，是党在农村全部工作和战斗力的基础，全面领导本镇的工作和基层社会治理，支持和保证行政组织、经济组织和群众自治组织充分行使职权。陈家铺镇人大是基层地方国家权力机关，加强基层政权、推进基层民主法治建设和政治文明建设。陈家铺镇人民政府是本级人民代表大会的执行机关，是本级国家行政机关，依法行使行政职权。陈家铺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7"/>
      </w:pPr>
      <w:r>
        <w:t>第三条贯彻落实党中央和省委、市委、县委方针政策和决策部署，坚持和加强觉对本镇工作的集中统一领导。陈家铺镇党委、人大、政府主要职责是:</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(二)讨论和决定本镇经济建设、政治建设、文化建设、社会建设、生态文明建设和党的建设以及乡村振兴中的重大问题。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辖区内的经济和社会发展计划、预算，管理辖区内的经济、教育、科学、文化、卫生健康、体育事业和财政、统计、民政、司法行政等行政工作。落实辖区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(七)按照干部管理权限，负责对干部的教育、培训、选拔、考核和监督工作。协调管理上级有关部门驻镇单位的干部。做好人才服务工作。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w:t>
      </w:r>
    </w:p>
    <w:p>
      <w:pPr>
        <w:pStyle w:val="17"/>
      </w:pPr>
      <w:r>
        <w:t>(十)承办上级党委、人大、政府交办的其他事项。</w:t>
      </w:r>
    </w:p>
    <w:p>
      <w:pPr>
        <w:pStyle w:val="17"/>
      </w:pPr>
      <w:r>
        <w:t>第四条陈家铺镇设内设机构4个，机构规格均为正股级。</w:t>
      </w:r>
    </w:p>
    <w:p>
      <w:pPr>
        <w:pStyle w:val="17"/>
      </w:pPr>
      <w:r>
        <w:t>(一)党政综合办公室</w:t>
      </w:r>
    </w:p>
    <w:p>
      <w:pPr>
        <w:pStyle w:val="17"/>
      </w:pPr>
      <w: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镇党委、政府交办的其他工作任务。</w:t>
      </w:r>
    </w:p>
    <w:p>
      <w:pPr>
        <w:pStyle w:val="17"/>
      </w:pPr>
      <w:r>
        <w:t>(二)党建工作办公室</w:t>
      </w:r>
    </w:p>
    <w:p>
      <w:pPr>
        <w:pStyle w:val="17"/>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分健全党建联席会议和兼职委员制度，承担党建联席会议日常工作；负责党的政治思想、宣传、精神文明、党务公开、统一战线、民族宗教、人民武装有关工作；领导协调工会、共青团、妇联等群众组织工作；按权限负责村民委员会的设立、撤销、范围调整等工作；指导村民委员会建立健全各项自治制度并予以备案；建立分健全村党组织、村委全、监委会、综合服务站、村集体经济合作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w:t>
      </w:r>
    </w:p>
    <w:p>
      <w:pPr>
        <w:pStyle w:val="17"/>
      </w:pPr>
      <w:r>
        <w:t>工资保险、高退休人员服务等工作；加强和规范对派驻机构的管理:按权限负责村干部的日常管理、考核培训等工作;做好辖区人才工作:承担人大、政协有关工作。完成镇党委、政府交办的其他工作任务。</w:t>
      </w:r>
    </w:p>
    <w:p>
      <w:pPr>
        <w:pStyle w:val="17"/>
      </w:pPr>
      <w:r>
        <w:t>(三)经济发展办公室</w:t>
      </w:r>
    </w:p>
    <w:p>
      <w:pPr>
        <w:pStyle w:val="17"/>
      </w:pPr>
      <w:r>
        <w:t>负责贯彻执行发展改革等方面的法律法规和政策规定。负责拟订辖区经济社会发展规划并组织实施，做好经济发展、招商引资、项目建设、市场主体培育、经济运行分析和统计等工作。完成镇党委、政府交办的其他工作任务。</w:t>
      </w:r>
    </w:p>
    <w:p>
      <w:pPr>
        <w:pStyle w:val="17"/>
      </w:pPr>
      <w:r>
        <w:t>(四)安全发展办公室</w:t>
      </w:r>
    </w:p>
    <w:p>
      <w:pPr>
        <w:pStyle w:val="17"/>
      </w:pPr>
      <w:r>
        <w:t>负责贯彻执行社会事务、统计等方面的法律法规和政策规定。负责辖区民政、统计、教育、人口、卫生健康、文化、体育、旅游、广播电视等社会事务工作。组织实施居家养老服务工作。负责辖区爱国卫生日常工作;领导辖区内传染病防治工作，组织开展群众性卫生活动，进行预防传染病的健康教育。负责协调与社会事务相关的其他工作。</w:t>
      </w:r>
    </w:p>
    <w:p>
      <w:pPr>
        <w:pStyle w:val="17"/>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做乱污”企业综合整治工作;按照职责分工做好乡村环境保护和治理工作;按照职责分工和相关预案开展突发环境事件应急处置工作，按照有关规定向上级报告;组织开展全民义务植树、古树名水保护工作;在上级城市绿化行政主管部门的指导下，负责辖区内绿化工作。</w:t>
      </w:r>
    </w:p>
    <w:p>
      <w:pPr>
        <w:pStyle w:val="17"/>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厚、防灾减灾、护林防火工作；建立健全自然灾害救助款物和捐赠款物的监督检查制度，并及时受理投诉和举报;负责辖区乡道、村道建设、养护和管理工作。负责乡村道路交通安全监督管理工作。</w:t>
      </w:r>
    </w:p>
    <w:p>
      <w:pPr>
        <w:pStyle w:val="17"/>
      </w:pPr>
      <w:r>
        <w:t>完成镇党委，政府交办的其他工作任务。</w:t>
      </w:r>
    </w:p>
    <w:p>
      <w:pPr>
        <w:pStyle w:val="17"/>
      </w:pPr>
      <w:r>
        <w:t>第五条陈家绿镇设事业单位4个，均为公益一类事业单位。</w:t>
      </w:r>
    </w:p>
    <w:p>
      <w:pPr>
        <w:pStyle w:val="17"/>
      </w:pPr>
      <w:r>
        <w:t>机构规格相当于正股级，经费形式为财政性资金基本保证。</w:t>
      </w:r>
    </w:p>
    <w:p>
      <w:pPr>
        <w:pStyle w:val="17"/>
      </w:pPr>
      <w:r>
        <w:t>(一)综合行政执法队:核定事业编制11名，设队长1名，副队长2名。</w:t>
      </w:r>
    </w:p>
    <w:p>
      <w:pPr>
        <w:pStyle w:val="17"/>
      </w:pPr>
      <w:r>
        <w:t>根据法律法规和省政府授权，承担综合行政执法工作，严格落实执法相关制度，健全完善执法程序，规范执法行为。负责辖区内的食品安全隐患排查、信息报告、协助执法和宣传教育等工作，协助做好结区内小作坊、小餐饮、小推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同纠纷调解相关工作;承担企业劳动争议调解相关工作；负责社区矫正有关工作;协调有关部门做好未成年人的保护工作；负责社区戒毒、社区康复工作。完成镇党委、政府交办的其他工作任务。</w:t>
      </w:r>
    </w:p>
    <w:p>
      <w:pPr>
        <w:pStyle w:val="17"/>
      </w:pPr>
      <w:r>
        <w:t>(二)行政综合服务中心:核定事业编制9名，设主任1名。副主任2名.</w:t>
      </w:r>
    </w:p>
    <w:p>
      <w:pPr>
        <w:pStyle w:val="17"/>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镇党委、政府交办的其他工作任务。</w:t>
      </w:r>
    </w:p>
    <w:p>
      <w:pPr>
        <w:pStyle w:val="17"/>
      </w:pPr>
      <w:r>
        <w:t>(三)农业综合服务中心:核定事业编制9名,设主任1名。副主任2名。</w:t>
      </w:r>
    </w:p>
    <w:p>
      <w:pPr>
        <w:pStyle w:val="17"/>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核分工和权限负责村集体财务管理工作;按照职责分工负责辖区农民负担监管工作,组织开展农民负担专项检查;负责辖内农村土地承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 ；负责组织当地农业生产经营组织和农业生产者对农业有害生物实施综合治理;负责辖区农村巩固拓展脱贫攻坚成果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镇党委、政府交办的其他工作任务。</w:t>
      </w:r>
    </w:p>
    <w:p>
      <w:pPr>
        <w:pStyle w:val="17"/>
      </w:pPr>
      <w:r>
        <w:t>(四)退役军人服务站:核定事业编制7名,设站长1名，副站长1名。</w:t>
      </w:r>
    </w:p>
    <w:p>
      <w:pPr>
        <w:pStyle w:val="17"/>
      </w:pPr>
      <w:r>
        <w:t>负责辖区拥军优属、退役军人服务等工作。赏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镇党委、政府交办的其他工作任务。</w:t>
      </w:r>
    </w:p>
    <w:p>
      <w:pPr>
        <w:pStyle w:val="17"/>
      </w:pPr>
      <w:r>
        <w:t>第六条陈家铺核定行政编制27名，其中，镇党委设书记1名，副书记3名(含镇长1名):镇政府设镇长1名，副镇长3名(其中1名兼任公安派出所所长);镇人大、纪委等其他领导职位按有关规定设置。</w:t>
      </w:r>
    </w:p>
    <w:p>
      <w:pPr>
        <w:pStyle w:val="17"/>
      </w:pPr>
      <w:r>
        <w:t>内设机构正股级职数4名，副股级职数5名。</w:t>
      </w:r>
    </w:p>
    <w:p>
      <w:pPr>
        <w:pStyle w:val="17"/>
      </w:pPr>
      <w:r>
        <w:t>党建工作办公室、综合行政执法队、行政综合服务中心主要负责人可配备副科级干部，党委组织员1名按职级序列掌握。</w:t>
      </w:r>
    </w:p>
    <w:p>
      <w:pPr>
        <w:pStyle w:val="17"/>
      </w:pPr>
      <w:r>
        <w:t>第七条本规定具体解释工作由中共玉田县委机构编制委员会办公室承担，其调整由中共玉田县委机构编制委员会办公室按规定程序办理。</w:t>
      </w:r>
    </w:p>
    <w:p>
      <w:pPr>
        <w:pStyle w:val="17"/>
      </w:pPr>
      <w:r>
        <w:t>第八条本规定自2024年4月22日起施行。</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玉田县陈家铺镇人民政府本级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10564901.58元，其中：一般公共预算收入10564901.58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收支预算总表支出栏、基本支出表、项目支出表按经济分类和支出功能分类科目编制，反映玉田县陈家铺镇人民政府本级年度单位预算中支出预算的总体情况。2025年支出预算10564901.58</w:t>
      </w:r>
      <w:r>
        <w:rPr>
          <w:rFonts w:hint="eastAsia"/>
          <w:lang w:eastAsia="zh-CN"/>
        </w:rPr>
        <w:t>元</w:t>
      </w:r>
      <w:r>
        <w:t>，其中基本支出10401901.58</w:t>
      </w:r>
      <w:r>
        <w:rPr>
          <w:rFonts w:hint="eastAsia"/>
          <w:lang w:eastAsia="zh-CN"/>
        </w:rPr>
        <w:t>元</w:t>
      </w:r>
      <w:r>
        <w:t>，包括人员经费9372923.58</w:t>
      </w:r>
      <w:r>
        <w:rPr>
          <w:rFonts w:hint="eastAsia"/>
          <w:lang w:eastAsia="zh-CN"/>
        </w:rPr>
        <w:t>元</w:t>
      </w:r>
      <w:r>
        <w:t>和日常公用经费1028978.00</w:t>
      </w:r>
      <w:r>
        <w:rPr>
          <w:rFonts w:hint="eastAsia"/>
          <w:lang w:eastAsia="zh-CN"/>
        </w:rPr>
        <w:t>元</w:t>
      </w:r>
      <w:r>
        <w:t>；项目支出163000.00</w:t>
      </w:r>
      <w:r>
        <w:rPr>
          <w:rFonts w:hint="eastAsia"/>
          <w:lang w:eastAsia="zh-CN"/>
        </w:rPr>
        <w:t>元</w:t>
      </w:r>
      <w:r>
        <w:t>，主要为乡镇人大工作站经费20000元，安保、环保、安全生产、应急、食药监管20000元，人武、党团妇建设、纪检、宣传经费30000元，河渠治理及河长制20000元，残疾人保障金73000元。</w:t>
      </w:r>
    </w:p>
    <w:p>
      <w:pPr>
        <w:pStyle w:val="18"/>
      </w:pPr>
      <w:r>
        <w:t>3、比上年增减情况</w:t>
      </w:r>
    </w:p>
    <w:p>
      <w:pPr>
        <w:pStyle w:val="18"/>
      </w:pPr>
      <w:r>
        <w:t>2025年预算收支安排10564901.58</w:t>
      </w:r>
      <w:r>
        <w:rPr>
          <w:rFonts w:hint="eastAsia"/>
          <w:lang w:eastAsia="zh-CN"/>
        </w:rPr>
        <w:t>元</w:t>
      </w:r>
      <w:r>
        <w:t>，较2024年预算减少6413.35</w:t>
      </w:r>
      <w:r>
        <w:rPr>
          <w:rFonts w:hint="eastAsia"/>
          <w:lang w:eastAsia="zh-CN"/>
        </w:rPr>
        <w:t>元</w:t>
      </w:r>
      <w:r>
        <w:t>，其中：基本支出增加180586.65</w:t>
      </w:r>
      <w:r>
        <w:rPr>
          <w:rFonts w:hint="eastAsia"/>
          <w:lang w:eastAsia="zh-CN"/>
        </w:rPr>
        <w:t>元</w:t>
      </w:r>
      <w:r>
        <w:t>，主要为项目支出减少，人员经费增加。项目支出减少187000.00</w:t>
      </w:r>
      <w:r>
        <w:rPr>
          <w:rFonts w:hint="eastAsia"/>
          <w:lang w:eastAsia="zh-CN"/>
        </w:rPr>
        <w:t>元</w:t>
      </w:r>
      <w:r>
        <w:t>，主要为预算项目减少。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2025年，我单位机关运行经费共计安排1028978.00</w:t>
      </w:r>
      <w:r>
        <w:rPr>
          <w:rFonts w:hint="eastAsia"/>
          <w:lang w:eastAsia="zh-CN"/>
        </w:rPr>
        <w:t>元</w:t>
      </w:r>
      <w:r>
        <w:t>，主要用于日常维修、办公用房水电费、办公用房取暖费、办公用房物业管理费等日常运行支出。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43000</w:t>
      </w:r>
      <w:r>
        <w:t>.00</w:t>
      </w:r>
      <w:r>
        <w:rPr>
          <w:rFonts w:hint="eastAsia"/>
          <w:lang w:eastAsia="zh-CN"/>
        </w:rPr>
        <w:t>元</w:t>
      </w:r>
      <w:r>
        <w:t>，其中因公出国（境）费0.00</w:t>
      </w:r>
      <w:r>
        <w:rPr>
          <w:rFonts w:hint="eastAsia"/>
          <w:lang w:eastAsia="zh-CN"/>
        </w:rPr>
        <w:t>元</w:t>
      </w:r>
      <w:r>
        <w:t>；公务用车购置及运维费</w:t>
      </w:r>
      <w:r>
        <w:rPr>
          <w:rFonts w:hint="eastAsia"/>
          <w:lang w:val="en-US" w:eastAsia="zh-CN"/>
        </w:rPr>
        <w:t>23000</w:t>
      </w:r>
      <w:r>
        <w:t>.00</w:t>
      </w:r>
      <w:r>
        <w:rPr>
          <w:rFonts w:hint="eastAsia"/>
          <w:lang w:eastAsia="zh-CN"/>
        </w:rPr>
        <w:t>元</w:t>
      </w:r>
      <w:r>
        <w:t>（其中：公务用车购置费为0.00</w:t>
      </w:r>
      <w:r>
        <w:rPr>
          <w:rFonts w:hint="eastAsia"/>
          <w:lang w:eastAsia="zh-CN"/>
        </w:rPr>
        <w:t>元</w:t>
      </w:r>
      <w:r>
        <w:t>，公务用车运维费</w:t>
      </w:r>
      <w:r>
        <w:rPr>
          <w:rFonts w:hint="eastAsia"/>
          <w:lang w:val="en-US" w:eastAsia="zh-CN"/>
        </w:rPr>
        <w:t>23000</w:t>
      </w:r>
      <w:r>
        <w:t>.00</w:t>
      </w:r>
      <w:r>
        <w:rPr>
          <w:rFonts w:hint="eastAsia"/>
          <w:lang w:eastAsia="zh-CN"/>
        </w:rPr>
        <w:t>元</w:t>
      </w:r>
      <w:r>
        <w:t>)；公务接待费</w:t>
      </w:r>
      <w:r>
        <w:rPr>
          <w:rFonts w:hint="eastAsia"/>
          <w:lang w:val="en-US" w:eastAsia="zh-CN"/>
        </w:rPr>
        <w:t>20000</w:t>
      </w:r>
      <w:r>
        <w:t>.00</w:t>
      </w:r>
      <w:r>
        <w:rPr>
          <w:rFonts w:hint="eastAsia"/>
          <w:lang w:eastAsia="zh-CN"/>
        </w:rPr>
        <w:t>元</w:t>
      </w:r>
      <w:r>
        <w:t>。与2024年相比</w:t>
      </w:r>
      <w:r>
        <w:rPr>
          <w:rFonts w:hint="eastAsia"/>
          <w:lang w:val="en-US" w:eastAsia="zh-CN"/>
        </w:rPr>
        <w:t>减少10000</w:t>
      </w:r>
      <w:r>
        <w:t>.00</w:t>
      </w:r>
      <w:r>
        <w:rPr>
          <w:rFonts w:hint="eastAsia"/>
          <w:lang w:eastAsia="zh-CN"/>
        </w:rPr>
        <w:t>元</w:t>
      </w:r>
      <w:r>
        <w:t>，增减变化的主要原因是</w:t>
      </w:r>
      <w:r>
        <w:rPr>
          <w:rFonts w:hint="eastAsia"/>
          <w:lang w:val="en-US" w:eastAsia="zh-CN"/>
        </w:rPr>
        <w:t>预算减少</w:t>
      </w:r>
      <w:bookmarkStart w:id="1" w:name="_GoBack"/>
      <w:bookmarkEnd w:id="1"/>
      <w:r>
        <w:t>。具体情况如下：</w:t>
      </w:r>
    </w:p>
    <w:p>
      <w:pPr>
        <w:pStyle w:val="20"/>
      </w:pPr>
      <w:r>
        <w:t>（一）公务用车购置及运行费。共计安排</w:t>
      </w:r>
      <w:r>
        <w:rPr>
          <w:rFonts w:hint="eastAsia"/>
          <w:lang w:val="en-US" w:eastAsia="zh-CN"/>
        </w:rPr>
        <w:t>23000</w:t>
      </w:r>
      <w:r>
        <w:rPr>
          <w:rFonts w:hint="eastAsia"/>
          <w:lang w:eastAsia="zh-CN"/>
        </w:rPr>
        <w:t>元</w:t>
      </w:r>
      <w:r>
        <w:t>，与上年预算持平。</w:t>
      </w:r>
    </w:p>
    <w:p>
      <w:pPr>
        <w:pStyle w:val="20"/>
      </w:pPr>
      <w:r>
        <w:t>1、公务用车购置安排0</w:t>
      </w:r>
      <w:r>
        <w:rPr>
          <w:rFonts w:hint="eastAsia"/>
          <w:lang w:eastAsia="zh-CN"/>
        </w:rPr>
        <w:t>元</w:t>
      </w:r>
      <w:r>
        <w:t>。与上年预算持平，原因为无公务用车购置计划。</w:t>
      </w:r>
    </w:p>
    <w:p>
      <w:pPr>
        <w:pStyle w:val="20"/>
      </w:pPr>
      <w:r>
        <w:t>2、公务用车运行维护费安排</w:t>
      </w:r>
      <w:r>
        <w:rPr>
          <w:rFonts w:hint="eastAsia"/>
          <w:lang w:val="en-US" w:eastAsia="zh-CN"/>
        </w:rPr>
        <w:t>23000</w:t>
      </w:r>
      <w:r>
        <w:rPr>
          <w:rFonts w:hint="eastAsia"/>
          <w:lang w:eastAsia="zh-CN"/>
        </w:rPr>
        <w:t>元</w:t>
      </w:r>
      <w:r>
        <w:t>。与上年预算持平。</w:t>
      </w:r>
    </w:p>
    <w:p>
      <w:pPr>
        <w:pStyle w:val="20"/>
      </w:pPr>
      <w:r>
        <w:t>（二）公务接待费。安排2</w:t>
      </w:r>
      <w:r>
        <w:rPr>
          <w:rFonts w:hint="eastAsia"/>
          <w:lang w:val="en-US" w:eastAsia="zh-CN"/>
        </w:rPr>
        <w:t>0000</w:t>
      </w:r>
      <w:r>
        <w:rPr>
          <w:rFonts w:hint="eastAsia"/>
          <w:lang w:eastAsia="zh-CN"/>
        </w:rPr>
        <w:t>元</w:t>
      </w:r>
      <w:r>
        <w:t>，落实过紧日子要求，与上年预算相比减少1</w:t>
      </w:r>
      <w:r>
        <w:rPr>
          <w:rFonts w:hint="eastAsia"/>
          <w:lang w:val="en-US" w:eastAsia="zh-CN"/>
        </w:rPr>
        <w:t>0000</w:t>
      </w:r>
      <w:r>
        <w:rPr>
          <w:rFonts w:hint="eastAsia"/>
          <w:lang w:eastAsia="zh-CN"/>
        </w:rPr>
        <w:t>元</w:t>
      </w:r>
      <w:r>
        <w:t>。</w:t>
      </w:r>
    </w:p>
    <w:p>
      <w:pPr>
        <w:pStyle w:val="20"/>
      </w:pPr>
      <w:r>
        <w:t>（三）因公出国（境）费。安排0</w:t>
      </w:r>
      <w:r>
        <w:rPr>
          <w:rFonts w:hint="eastAsia"/>
          <w:lang w:eastAsia="zh-CN"/>
        </w:rPr>
        <w:t>元</w:t>
      </w:r>
      <w:r>
        <w:t>，无增减变动，原因为无因公出国（境）计划。</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13022925P00JXC410261B</w:t>
            </w:r>
          </w:p>
        </w:tc>
        <w:tc>
          <w:tcPr>
            <w:tcW w:w="2835" w:type="dxa"/>
            <w:vAlign w:val="center"/>
          </w:tcPr>
          <w:p>
            <w:pPr>
              <w:pStyle w:val="10"/>
            </w:pPr>
            <w:r>
              <w:t>项目名称</w:t>
            </w:r>
          </w:p>
        </w:tc>
        <w:tc>
          <w:tcPr>
            <w:tcW w:w="6095" w:type="dxa"/>
            <w:gridSpan w:val="3"/>
            <w:vAlign w:val="center"/>
          </w:tcPr>
          <w:p>
            <w:pPr>
              <w:pStyle w:val="12"/>
            </w:pPr>
            <w:r>
              <w:t>安保、环保、安全生产、应急、食药监管经费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保障安保、环保、安全生产、应急、食药监管经费正常运行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1.保障安保、环保、安全生产、应急、食药监管经费正常运行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符合安保、环保、安全生产、应急、食药监管质量要求</w:t>
            </w:r>
          </w:p>
        </w:tc>
        <w:tc>
          <w:tcPr>
            <w:tcW w:w="5386" w:type="dxa"/>
            <w:vAlign w:val="center"/>
          </w:tcPr>
          <w:p>
            <w:pPr>
              <w:pStyle w:val="12"/>
            </w:pPr>
            <w:r>
              <w:t>符合安保、环保、安全生产、应急、食药监管质量要求</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拉动地方经济发展</w:t>
            </w:r>
          </w:p>
        </w:tc>
        <w:tc>
          <w:tcPr>
            <w:tcW w:w="5386" w:type="dxa"/>
            <w:vAlign w:val="center"/>
          </w:tcPr>
          <w:p>
            <w:pPr>
              <w:pStyle w:val="12"/>
            </w:pPr>
            <w:r>
              <w:t>对我省的区域经济具有一定的带动作用</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产品安全工作支持率</w:t>
            </w:r>
          </w:p>
        </w:tc>
        <w:tc>
          <w:tcPr>
            <w:tcW w:w="5386" w:type="dxa"/>
            <w:vAlign w:val="center"/>
          </w:tcPr>
          <w:p>
            <w:pPr>
              <w:pStyle w:val="12"/>
            </w:pPr>
            <w:r>
              <w:t>产品安全工作支持率</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2025年年初预算安排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13022925P00JXC4196330</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73000.00</w:t>
            </w:r>
          </w:p>
        </w:tc>
        <w:tc>
          <w:tcPr>
            <w:tcW w:w="2835" w:type="dxa"/>
            <w:vAlign w:val="center"/>
          </w:tcPr>
          <w:p>
            <w:pPr>
              <w:pStyle w:val="10"/>
            </w:pPr>
            <w:r>
              <w:t>其中：财政    资金</w:t>
            </w:r>
          </w:p>
        </w:tc>
        <w:tc>
          <w:tcPr>
            <w:tcW w:w="2551" w:type="dxa"/>
            <w:vAlign w:val="center"/>
          </w:tcPr>
          <w:p>
            <w:pPr>
              <w:pStyle w:val="12"/>
            </w:pPr>
            <w:r>
              <w:t>73000.00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用于残疾人保障金支出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1.保障残疾人保障金正常运行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残疾人保障金金额</w:t>
            </w:r>
          </w:p>
        </w:tc>
        <w:tc>
          <w:tcPr>
            <w:tcW w:w="5386" w:type="dxa"/>
            <w:vAlign w:val="center"/>
          </w:tcPr>
          <w:p>
            <w:pPr>
              <w:pStyle w:val="12"/>
            </w:pPr>
            <w:r>
              <w:t>残疾人保障金金额</w:t>
            </w:r>
          </w:p>
        </w:tc>
        <w:tc>
          <w:tcPr>
            <w:tcW w:w="2268" w:type="dxa"/>
            <w:vAlign w:val="center"/>
          </w:tcPr>
          <w:p>
            <w:pPr>
              <w:pStyle w:val="12"/>
            </w:pPr>
            <w:r>
              <w:t>≤73000元</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w:t>
            </w:r>
          </w:p>
        </w:tc>
        <w:tc>
          <w:tcPr>
            <w:tcW w:w="5386" w:type="dxa"/>
            <w:vAlign w:val="center"/>
          </w:tcPr>
          <w:p>
            <w:pPr>
              <w:pStyle w:val="12"/>
            </w:pPr>
            <w:r>
              <w:t>项目完成质量</w:t>
            </w:r>
          </w:p>
        </w:tc>
        <w:tc>
          <w:tcPr>
            <w:tcW w:w="2268" w:type="dxa"/>
            <w:vAlign w:val="center"/>
          </w:tcPr>
          <w:p>
            <w:pPr>
              <w:pStyle w:val="12"/>
            </w:pPr>
            <w:r>
              <w:t>≥95</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项目时效性</w:t>
            </w:r>
          </w:p>
        </w:tc>
        <w:tc>
          <w:tcPr>
            <w:tcW w:w="5386" w:type="dxa"/>
            <w:vAlign w:val="center"/>
          </w:tcPr>
          <w:p>
            <w:pPr>
              <w:pStyle w:val="12"/>
            </w:pPr>
            <w:r>
              <w:t>按时完成</w:t>
            </w:r>
          </w:p>
        </w:tc>
        <w:tc>
          <w:tcPr>
            <w:tcW w:w="2268" w:type="dxa"/>
            <w:vAlign w:val="center"/>
          </w:tcPr>
          <w:p>
            <w:pPr>
              <w:pStyle w:val="12"/>
            </w:pPr>
            <w:r>
              <w:t>≥95</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不超过批复资金</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≥95</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≥95</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≥95</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≥95</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受益群众满意度指标</w:t>
            </w:r>
          </w:p>
        </w:tc>
        <w:tc>
          <w:tcPr>
            <w:tcW w:w="5386" w:type="dxa"/>
            <w:vAlign w:val="center"/>
          </w:tcPr>
          <w:p>
            <w:pPr>
              <w:pStyle w:val="12"/>
            </w:pPr>
            <w:r>
              <w:t>受益群众满意度指标</w:t>
            </w:r>
          </w:p>
        </w:tc>
        <w:tc>
          <w:tcPr>
            <w:tcW w:w="2268" w:type="dxa"/>
            <w:vAlign w:val="center"/>
          </w:tcPr>
          <w:p>
            <w:pPr>
              <w:pStyle w:val="12"/>
            </w:pPr>
            <w:r>
              <w:t>≥95</w:t>
            </w:r>
          </w:p>
        </w:tc>
        <w:tc>
          <w:tcPr>
            <w:tcW w:w="1276" w:type="dxa"/>
            <w:vAlign w:val="center"/>
          </w:tcPr>
          <w:p>
            <w:pPr>
              <w:pStyle w:val="12"/>
            </w:pPr>
            <w:r>
              <w:t>2025年预算安排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3、河渠清理及河长制经费绩效目标表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13022925P000164100326</w:t>
            </w:r>
          </w:p>
        </w:tc>
        <w:tc>
          <w:tcPr>
            <w:tcW w:w="2835" w:type="dxa"/>
            <w:vAlign w:val="center"/>
          </w:tcPr>
          <w:p>
            <w:pPr>
              <w:pStyle w:val="10"/>
            </w:pPr>
            <w:r>
              <w:t>项目名称</w:t>
            </w:r>
          </w:p>
        </w:tc>
        <w:tc>
          <w:tcPr>
            <w:tcW w:w="6095" w:type="dxa"/>
            <w:gridSpan w:val="3"/>
            <w:vAlign w:val="center"/>
          </w:tcPr>
          <w:p>
            <w:pPr>
              <w:pStyle w:val="12"/>
            </w:pPr>
            <w:r>
              <w:t>河渠清理及河长制经费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保障河渠清理及河长制经费正常运行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1.保障河渠清理及河长制经费正常运行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河渠清理数量及河长制经费支出</w:t>
            </w:r>
          </w:p>
        </w:tc>
        <w:tc>
          <w:tcPr>
            <w:tcW w:w="5386" w:type="dxa"/>
            <w:vAlign w:val="center"/>
          </w:tcPr>
          <w:p>
            <w:pPr>
              <w:pStyle w:val="12"/>
            </w:pPr>
            <w:r>
              <w:t>河渠清理数量及河长制经费支出</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河渠清理质量及河长制经费运行</w:t>
            </w:r>
          </w:p>
        </w:tc>
        <w:tc>
          <w:tcPr>
            <w:tcW w:w="5386" w:type="dxa"/>
            <w:vAlign w:val="center"/>
          </w:tcPr>
          <w:p>
            <w:pPr>
              <w:pStyle w:val="12"/>
            </w:pPr>
            <w:r>
              <w:t>河渠清理质量及河长制经费运行</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污染治理设施成本控制率</w:t>
            </w:r>
          </w:p>
        </w:tc>
        <w:tc>
          <w:tcPr>
            <w:tcW w:w="5386" w:type="dxa"/>
            <w:vAlign w:val="center"/>
          </w:tcPr>
          <w:p>
            <w:pPr>
              <w:pStyle w:val="12"/>
            </w:pPr>
            <w:r>
              <w:t>污染治理设施成本控制率</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项目实施对公共服务水平提升情况</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建立健全长效机制</w:t>
            </w:r>
          </w:p>
        </w:tc>
        <w:tc>
          <w:tcPr>
            <w:tcW w:w="5386" w:type="dxa"/>
            <w:vAlign w:val="center"/>
          </w:tcPr>
          <w:p>
            <w:pPr>
              <w:pStyle w:val="12"/>
            </w:pPr>
            <w:r>
              <w:t>建立健全长效机制</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2025年年初预算安排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13022925P00JXC410266D</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保障人武、党团妇建设、纪检、宣传经费正常运行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1.保障人武、党团妇建设、纪检、宣传经费正常运行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人武、党团妇建设、纪检、宣传经费支出</w:t>
            </w:r>
          </w:p>
        </w:tc>
        <w:tc>
          <w:tcPr>
            <w:tcW w:w="5386" w:type="dxa"/>
            <w:vAlign w:val="center"/>
          </w:tcPr>
          <w:p>
            <w:pPr>
              <w:pStyle w:val="12"/>
            </w:pPr>
            <w:r>
              <w:t>人武、党团妇建设、纪检、宣传经费支出</w:t>
            </w:r>
          </w:p>
        </w:tc>
        <w:tc>
          <w:tcPr>
            <w:tcW w:w="2268" w:type="dxa"/>
            <w:vAlign w:val="center"/>
          </w:tcPr>
          <w:p>
            <w:pPr>
              <w:pStyle w:val="12"/>
            </w:pPr>
            <w:r>
              <w:t>≤30000元</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人武、党团妇建设、纪检、宣传经费完成率</w:t>
            </w:r>
          </w:p>
        </w:tc>
        <w:tc>
          <w:tcPr>
            <w:tcW w:w="5386" w:type="dxa"/>
            <w:vAlign w:val="center"/>
          </w:tcPr>
          <w:p>
            <w:pPr>
              <w:pStyle w:val="12"/>
            </w:pPr>
            <w:r>
              <w:t>人武、党团妇建设、纪检、宣传经费完成率</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项目建设的经济性</w:t>
            </w:r>
          </w:p>
        </w:tc>
        <w:tc>
          <w:tcPr>
            <w:tcW w:w="5386" w:type="dxa"/>
            <w:vAlign w:val="center"/>
          </w:tcPr>
          <w:p>
            <w:pPr>
              <w:pStyle w:val="12"/>
            </w:pPr>
            <w:r>
              <w:t>项目建设的经济性</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建立健全长效机制</w:t>
            </w:r>
          </w:p>
        </w:tc>
        <w:tc>
          <w:tcPr>
            <w:tcW w:w="5386" w:type="dxa"/>
            <w:vAlign w:val="center"/>
          </w:tcPr>
          <w:p>
            <w:pPr>
              <w:pStyle w:val="12"/>
            </w:pPr>
            <w:r>
              <w:t>建立健全长效机制</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2025年年初预算安排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5、乡镇人大工作站经费绩效目标表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13022925P00JXC4102575</w:t>
            </w:r>
          </w:p>
        </w:tc>
        <w:tc>
          <w:tcPr>
            <w:tcW w:w="2835" w:type="dxa"/>
            <w:vAlign w:val="center"/>
          </w:tcPr>
          <w:p>
            <w:pPr>
              <w:pStyle w:val="10"/>
            </w:pPr>
            <w:r>
              <w:t>项目名称</w:t>
            </w:r>
          </w:p>
        </w:tc>
        <w:tc>
          <w:tcPr>
            <w:tcW w:w="6095" w:type="dxa"/>
            <w:gridSpan w:val="3"/>
            <w:vAlign w:val="center"/>
          </w:tcPr>
          <w:p>
            <w:pPr>
              <w:pStyle w:val="12"/>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保障乡镇人大工作站经费正常运行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1.保障乡镇人大工作站经费正常运行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乡镇网点覆盖率</w:t>
            </w:r>
          </w:p>
        </w:tc>
        <w:tc>
          <w:tcPr>
            <w:tcW w:w="5386" w:type="dxa"/>
            <w:vAlign w:val="center"/>
          </w:tcPr>
          <w:p>
            <w:pPr>
              <w:pStyle w:val="12"/>
            </w:pPr>
            <w:r>
              <w:t>乡镇网点覆盖率</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对各单位目标任务，工程质量，工程进度，安全生产，技术创新，文明施工，科学管理，廉政建设，营造氛围，组织领导进行考核</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项目完成及时有效</w:t>
            </w:r>
          </w:p>
        </w:tc>
        <w:tc>
          <w:tcPr>
            <w:tcW w:w="5386" w:type="dxa"/>
            <w:vAlign w:val="center"/>
          </w:tcPr>
          <w:p>
            <w:pPr>
              <w:pStyle w:val="12"/>
            </w:pPr>
            <w:r>
              <w:t>项目完成及时有效</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w:t>
            </w:r>
          </w:p>
        </w:tc>
        <w:tc>
          <w:tcPr>
            <w:tcW w:w="5386" w:type="dxa"/>
            <w:vAlign w:val="center"/>
          </w:tcPr>
          <w:p>
            <w:pPr>
              <w:pStyle w:val="12"/>
            </w:pPr>
            <w:r>
              <w:t>项目预算控制</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项目完成及时有效</w:t>
            </w:r>
          </w:p>
        </w:tc>
        <w:tc>
          <w:tcPr>
            <w:tcW w:w="5386" w:type="dxa"/>
            <w:vAlign w:val="center"/>
          </w:tcPr>
          <w:p>
            <w:pPr>
              <w:pStyle w:val="12"/>
            </w:pPr>
            <w:r>
              <w:t>项目完成及时有效</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建立健全长效机制</w:t>
            </w:r>
          </w:p>
        </w:tc>
        <w:tc>
          <w:tcPr>
            <w:tcW w:w="5386" w:type="dxa"/>
            <w:vAlign w:val="center"/>
          </w:tcPr>
          <w:p>
            <w:pPr>
              <w:pStyle w:val="12"/>
            </w:pPr>
            <w:r>
              <w:t>建立健全长效机制</w:t>
            </w:r>
          </w:p>
        </w:tc>
        <w:tc>
          <w:tcPr>
            <w:tcW w:w="2268" w:type="dxa"/>
            <w:vAlign w:val="center"/>
          </w:tcPr>
          <w:p>
            <w:pPr>
              <w:pStyle w:val="12"/>
            </w:pPr>
            <w:r>
              <w:t>≥95</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2025年年初预算安排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玉田县陈家铺镇人民政府本级上年末固定资产金额为</w:t>
      </w:r>
      <w:r>
        <w:rPr>
          <w:rFonts w:hint="eastAsia" w:eastAsia="方正仿宋_GBK" w:cs="Times New Roman"/>
          <w:b w:val="0"/>
          <w:color w:val="000000"/>
          <w:sz w:val="28"/>
          <w:lang w:val="en-US" w:eastAsia="zh-CN"/>
        </w:rPr>
        <w:t>902525.35</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rPr>
                <w:rFonts w:hint="default" w:eastAsia="方正书宋_GBK"/>
                <w:lang w:val="en-US" w:eastAsia="zh-CN"/>
              </w:rPr>
            </w:pPr>
            <w:r>
              <w:rPr>
                <w:rFonts w:hint="eastAsia"/>
                <w:lang w:val="en-US" w:eastAsia="zh-CN"/>
              </w:rPr>
              <w:t>其他固定资产</w:t>
            </w:r>
          </w:p>
        </w:tc>
        <w:tc>
          <w:tcPr>
            <w:tcW w:w="2835" w:type="dxa"/>
            <w:vAlign w:val="center"/>
          </w:tcPr>
          <w:p>
            <w:pPr>
              <w:pStyle w:val="13"/>
              <w:rPr>
                <w:rFonts w:hint="default" w:eastAsia="方正书宋_GBK"/>
                <w:lang w:val="en-US" w:eastAsia="zh-CN"/>
              </w:rPr>
            </w:pPr>
            <w:r>
              <w:rPr>
                <w:rFonts w:hint="eastAsia"/>
                <w:lang w:val="en-US" w:eastAsia="zh-CN"/>
              </w:rPr>
              <w:t>404</w:t>
            </w:r>
          </w:p>
        </w:tc>
        <w:tc>
          <w:tcPr>
            <w:tcW w:w="2835" w:type="dxa"/>
            <w:vAlign w:val="center"/>
          </w:tcPr>
          <w:p>
            <w:pPr>
              <w:pStyle w:val="11"/>
            </w:pPr>
            <w:r>
              <w:rPr>
                <w:rFonts w:hint="eastAsia"/>
                <w:lang w:val="en-US" w:eastAsia="zh-CN"/>
              </w:rPr>
              <w:t>902525.35</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RmYmViZDQ5NjkyN2IzOWU0ZGY0NGRjNmVhN2E1MmUifQ=="/>
    <w:docVar w:name="KSO_WPS_MARK_KEY" w:val="fcd735d7-7d94-42fe-9980-355aeb0194eb"/>
  </w:docVars>
  <w:rsids>
    <w:rsidRoot w:val="00000000"/>
    <w:rsid w:val="1E5A02BE"/>
    <w:rsid w:val="457B34A5"/>
    <w:rsid w:val="49E80AF9"/>
    <w:rsid w:val="694727F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11921</Words>
  <Characters>14272</Characters>
  <TotalTime>1</TotalTime>
  <ScaleCrop>false</ScaleCrop>
  <LinksUpToDate>false</LinksUpToDate>
  <CharactersWithSpaces>14435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2025-01-20T18:38:00Z</dcterms:created>
  <dc:creator>Administrator</dc:creator>
  <cp:lastModifiedBy>Administrator</cp:lastModifiedBy>
  <dcterms:modified xsi:type="dcterms:W3CDTF">2025-01-23T08:45:26Z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38ACA9AD808C4BBBA42720D0C7CEE700_12</vt:lpwstr>
  </property>
</Properties>
</file>