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玉田县医疗保障局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玉田县医疗保障局编制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1.办公设备购置费绩效目标表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2.残疾人保障金绩效目标表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3.基金监管经费绩效目标表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4.冀财社【2024】158号2025年中央财政医疗服务与保障能力提升补助资金（医疗保障服务能力建设部分）绩效目标表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5.劳务费绩效目标表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6.网络租赁维护费绩效目标表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7.医保事业专项绩效目标表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年度发展规划目标：</w:t>
      </w:r>
    </w:p>
    <w:p>
      <w:pPr>
        <w:pStyle w:val="插入文本样式-插入总体目标文件"/>
      </w:pPr>
      <w:r>
        <w:t xml:space="preserve">进一步提高参保职工、居民医疗保障水平，不断扩大城乡医疗保险覆盖范围,城乡居民统筹工作稳步推进；继续加强各项基金管理，规范医患双方医疗服务行为，合理控制基金支出，确保基金收支平衡、略有结余。切实做好2025年医疗救助工作，提高医疗救助资金保障能力，保障困难群众公平享有基本的医疗权益。完善城镇职工医保的筹资和待遇动态调整机制，完善统一的城乡居民基本医疗保险制度和大病保险制度，建立健全覆盖城乡的多层次医疗保障体系，确保医保资金稳定可持续、合理使用、安全可控。推进医疗、医保、医药、医价“四医联动”改革，更好保障人民群众就医需求、减轻医药费用负担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（一）办公设备购置费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绩效目标：提高工作效率和工作质量，更好地为全县60多万城乡居民和城镇职工做好基本医疗保险服务。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绩效指标：1、产出指标-数量指标-服务科室数量，指标值为=10个。2、产出指标-质量指标-购置质量合格率，指标值为≥95%。3、产出指标-时效指标-及时性，指标值为及时。4、效益指标-经济效益指标-对经济发展带来效果，指标值为提高。5、效益指标-社会效益指标-确保国家惠民政策落实，促进社会公平正义、改善民生，指标值为确保政策落实。6、满意度指标-服务对象满意度，指标值为非常满意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（二）基金监管经费</w:t>
      </w:r>
    </w:p>
    <w:p>
      <w:pPr>
        <w:pStyle w:val="插入文本样式-插入职责分类绩效目标文件"/>
      </w:pPr>
      <w:r>
        <w:t xml:space="preserve">绩效目标：保障医保基金安全，打击欺诈骗保行为。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绩效指标：1、产出指标-数量指标-基金监管日常检查次数，指标值≥300次；2、产出指标-质量指标-保障基金运行，指标值为保障医保基金安全；3、效益指标-经济效益指标-对社会经济发展的影响，指标值为提高。4、效益指标-社会效益指标-确保国家惠民政策落实。5、效益指标-可持续影响指标-可持续性服务，指标值为可持续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（三）劳务费</w:t>
      </w:r>
    </w:p>
    <w:p>
      <w:pPr>
        <w:pStyle w:val="插入文本样式-插入职责分类绩效目标文件"/>
      </w:pPr>
      <w:r>
        <w:t xml:space="preserve">绩效目标：保障单位日常工作顺利进行。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绩效指标：1、产出指标-数量指标-委托服务数量，指标值≥2个；2、产出指标-质量指标-保障工作质量，指标值为良好；3、效益指标-经济效益指标，指标值为增长。4、效益指标-社会效益指标-确保国家惠民政策落实。5、效益指标-可持续影响指标-可持续性服务，指标值为可持续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（四）网络租赁维护费</w:t>
      </w:r>
    </w:p>
    <w:p>
      <w:pPr>
        <w:pStyle w:val="插入文本样式-插入职责分类绩效目标文件"/>
      </w:pPr>
      <w:r>
        <w:t xml:space="preserve">绩效目标：用于单位正常运转所需的网络服务费等。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绩效指标：1、产出指标-数量指标网络和线路租赁数量，指标值≥3个；2、产出指标-质量指标-网络信息服务质量情况，指标值为良好；3、效益指标-经济效益指标-经济效益指标，指标值为增长，4、效益指标-社会效益指标-确保国家惠民政策落实，指标值为确保政策落实，5、效益指标-可持续影响指标-维护社会稳定，指标值为维护社会稳定，6、满意度指标-服务对象满意度-服务对象满意度，指标值为非常满意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（五）医保事业专项</w:t>
      </w:r>
    </w:p>
    <w:p>
      <w:pPr>
        <w:pStyle w:val="插入文本样式-插入职责分类绩效目标文件"/>
      </w:pPr>
      <w:r>
        <w:t xml:space="preserve">绩效目标：保障经办机构正常运转。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绩效指标：1、产出指标-数量指标-保障内设科室数量，指标值=10个；2、产出指标-质量指标-经费支出合规性，指标值合格；3、效益指标-经济效益指标-经济效益指标，指标值为增长，4、效益指标-社会效益指标-保障单位正常运转，指标值程度明显5、效益指标-可持续影响指标-对持续保障单位正常运转的程度，指标值为明显提高，6、满意度指标-服务对象满意度-服务对象满意度，指标值为非常满意。</w:t>
      </w:r>
    </w:p>
    <w:p>
      <w:pPr>
        <w:pStyle w:val="插入文本样式-插入职责分类绩效目标文件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实现本年度发展规划目标的保障措施</w:t>
      </w:r>
    </w:p>
    <w:p>
      <w:pPr>
        <w:pStyle w:val="插入文本样式-插入实现年度发展规划目标的保障措施文件"/>
      </w:pPr>
      <w:r>
        <w:t xml:space="preserve">1、进一步提高参保职工、居民医疗保障水平，不断扩大城乡医疗保险覆盖范围,城乡居民统筹工作稳步推进；2、继续加强各项基金管理，规范医患双方医疗服务行为，合理控制基金支出，确保基金收支平衡、略有结余；3、切实做好2025年医疗救助工作，提高医疗救助资金保障能力，保障困难群众公平享有基本的医疗权益。4、完善城镇职工医保的筹资和待遇动态调整机制，完善统一的城乡居民基本医疗保险制度和大病保险制度，建立健全覆盖城乡的多层次医疗保障体系，确保医保资金稳定可持续、合理使用、安全可控。推进医疗、医保、医药、医价“四医联动”改革，更好保障人民群众就医需求、减轻医药费用负担。</w:t>
      </w:r>
    </w:p>
    <w:p>
      <w:pPr>
        <w:pStyle w:val="插入文本样式-插入实现年度发展规划目标的保障措施文件"/>
      </w:pP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1.办公设备购置费绩效目标表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324001玉田县医疗保障局本级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13022925P00JXC4103582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办公设备购置费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用于新增办公设备的费用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1.提高工作效率和工作质量，更好地为全县60多万城乡居民和城镇职工做好基本医疗保险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保障科室数量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保障科室数量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单位业务正常运转实际所需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合格率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≥95百分之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单位业务正常运转实际所需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单位业务正常运转实际所需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预算内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单位业务正常运转实际所需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单位业务正常运转实际所需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确保国家惠民政策落实，促进社会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确保国家惠民政策落实，促进社会公平正义，改善民生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确保政策落实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单位业务正常运转实际所需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增长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单位业务正常运转实际所需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单位业务正常运转实际所需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非常满意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单位业务正常运转实际所需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2.残疾人保障金绩效目标表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324001玉田县医疗保障局本级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13022925P00JXC419614U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31000.00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31000.00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按时完成残疾人保障金的缴纳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1.为了促进残疾人就业，保障残疾人劳动权益，按时完成残疾人保障金的缴纳。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缴纳金额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缴纳金额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≤31000元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残疾人保障金计提准确率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残疾人保障金计提准确率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100百分之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控制在预算资金内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控制在预算资金内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预算内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对社会发展带来促进作用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对社会发展带来促进作用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促进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非常满意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根据单位实际情况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3.基金监管经费绩效目标表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324001玉田县医疗保障局本级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13022925P00JXC4103557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基金监管经费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用于基金监督检查发生的各项费用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1.保障医保基金安全，打击欺诈骗保行为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基金监督检查次数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基金监督检查次数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≥300次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根据单位业务开展所需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保障基金运行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保障基金运行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保障医保基金安全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根据单位业务开展所需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根据单位业务开展所需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预算内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根据单位业务开展所需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根据单位业务开展所需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确保国家惠民政策落实，促进社会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确保国家惠民政策落实，促进社会公平正义，改善民生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确保惠民政策落实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根据单位业务开展所需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增长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根据单位业务开展所需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根据单位业务开展所需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根据单位业务开展所需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4.冀财社【2024】158号2025年中央财政医疗服务与保障能力提升补助资金（医疗保障服务能力建设部分）绩效目标表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324001玉田县医疗保障局本级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13022925P00013610003U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冀财社【2024】158号2025年中央财政医疗服务与保障能力提升补助资金（医疗保障服务能力建设部分）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360000.00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用于医保信息化标准化、基金监管、医保支付方式改革、宣传引导、经办管理服务体系建设、药品和医用耗材集中带量采购、医疗服务价格改革、医保目录实施监管等方面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1.切实提高医保服务与保障能力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医保政策宣传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医保政策宣传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冀财社【2024】158号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业务工作完成率（%）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冀财社【2024】158号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冀财社【2024】158号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预算内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冀财社【2024】158号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促进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冀财社【2024】158号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定点医药机构监督检查覆盖率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定点医药机构监督检查覆盖率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100百分之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冀财社【2024】158号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增长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冀财社【2024】158号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冀财社【2024】158号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参保人员对医保服务的满意度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参保人员对医保服务的满意度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非常满意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冀财社【2024】158号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5.劳务费绩效目标表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324001玉田县医疗保障局本级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13022925P00JXC410357E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劳务费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83600.00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83600.00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主要用于临时工工资、基金审计费和两定点专家评审费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15%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40%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1.确保单位业务顺利进行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委托服务数量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委托服务数量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单位业务顺利开展实际所需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单位业务顺利开展实际所需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单位业务顺利开展实际所需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预算内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单位业务顺利开展实际所需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增长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单位业务顺利开展实际所需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确保国家惠民政策落实，促进社会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确保国家惠民政策落实，促进社会公平正义，改善民生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确保政策落实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单位业务顺利开展实际所需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增长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单位业务顺利开展实际所需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单位业务顺利开展实际所需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非常满意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单位业务顺利开展实际所需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6.网络租赁维护费绩效目标表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324001玉田县医疗保障局本级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13022925P00003010007G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网络租赁维护费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93000.00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93000.00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用于单位正常运转所需的网络服务费等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1.确保单位医保业务正常、顺利开展，保障广大参保人员的根本利益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网络和线路租赁数量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网络和线路租赁数量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网络信息服务质量情况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网络信息服务质量情况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预算内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确保国家惠民政策落实，促进社会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确保国家惠民政策落实，促进社会公平正义，改善民生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确保政策落实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非常满意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7.医保事业专项绩效目标表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324001玉田县医疗保障局本级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13022925P00JXC410356T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医保事业专项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补充各项办公经费不足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1.保障单位正常运转日常办公所需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保障内设科室数量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保障内设科室数量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经费支出合规性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经费支出合规性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合规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经费支出及时性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经费支出及时性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按计划完成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控制在预算范围内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增长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保障单位正常运转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程度明显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增长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对持续保障单位正常运转的程度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对持续保障单位正常运转的程度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明显提高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非常满意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根据单位实际所需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10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15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2025-01-17T18:14:04Z</dcterms:created>
  <dcterms:modified xsi:type="dcterms:W3CDTF">2025-01-17T18:14:04Z</dcterms:modified>
</cp:coreProperties>
</file>