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玉田县社会保险服务中心</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玉田县社会保险服务中心编制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1.残疾人保障金绩效目标表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2.专项业务费绩效目标表</w:t>
        </w:r>
        <w:r>
          <w:tab/>
        </w:r>
        <w:r>
          <w:fldChar w:fldCharType="begin"/>
        </w:r>
        <w:r>
          <w:instrText xml:space="preserve">PAGEREF _Toc_4_4_0000000005 \h</w:instrText>
        </w:r>
        <w:r>
          <w:fldChar w:fldCharType="separate"/>
        </w:r>
        <w:r>
          <w:t xml:space="preserve">6</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总体绩效目标</w:t>
      </w:r>
    </w:p>
    <w:p>
      <w:pPr>
        <w:pStyle w:val="插入文本样式-插入总体目标文件"/>
      </w:pPr>
      <w:r>
        <w:t xml:space="preserve">加大宣传力度，扩大各基金险种基本养老保险覆盖面。贯彻《中华人民共和国社会保险法》（2011年7月1日正式实施），印制宣传资料，组织我中心工作人员上街及深入企业进行大力宣传；在组织企业换发社会保险登记证的同时，发放《社会保险法》宣传资料，扩大社会保险的影响力，促进城镇个体工商户、灵活就业人员、私营企业劳动者积极参保。</w:t>
      </w:r>
    </w:p>
    <w:p>
      <w:pPr>
        <w:pStyle w:val="插入文本样式-插入总体目标文件"/>
      </w:pPr>
      <w:r>
        <w:t xml:space="preserve">继续开展以工伤保险待遇支付为重点的稽核工作，将养老保险缴费人数与工伤保险缴费人数挂钩，纳入稽核工作内容，进一步加大养老保险、工伤保险扩面力度，力争工伤保险全覆盖。</w:t>
      </w:r>
    </w:p>
    <w:p>
      <w:pPr>
        <w:pStyle w:val="插入文本样式-插入总体目标文件"/>
      </w:pPr>
      <w:r>
        <w:t xml:space="preserve">为确保养老金及时足额发放，积极向省、市、县部门申请养老保险调剂金及财政补助收入。</w:t>
      </w:r>
    </w:p>
    <w:p>
      <w:pPr>
        <w:pStyle w:val="插入文本样式-插入总体目标文件"/>
      </w:pPr>
      <w:r>
        <w:t xml:space="preserve">创新待遇领取人员人员的认证方法，加大宣传力度，采用新方法、新设备、新技术，让退休人员z进行认证，外地退休人员通过邮足不出户在家进行生存信息认证。既方便了广大企业退休人员，又加强了监管。</w:t>
      </w:r>
    </w:p>
    <w:p>
      <w:pPr>
        <w:pStyle w:val="插入文本样式-插入总体目标文件"/>
      </w:pPr>
      <w:r>
        <w:t xml:space="preserve">养老、失业、工伤、机关事业、城乡居民保险费依法依规、按时足额征缴，保险待遇按时足额支付，完成省市县各级主管部门下达的任务目标。</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一、项目分项绩效目标</w:t>
      </w:r>
    </w:p>
    <w:p>
      <w:pPr>
        <w:pStyle w:val="插入文本样式-插入职责分类绩效目标文件"/>
      </w:pPr>
      <w:r>
        <w:t xml:space="preserve">1、“专项业务费”项目年初预算排15万元，项目主要目标为保障社会保险经办机构工作正常开展的补助资金。</w:t>
      </w:r>
    </w:p>
    <w:p>
      <w:pPr>
        <w:pStyle w:val="插入文本样式-插入职责分类绩效目标文件"/>
      </w:pPr>
      <w:r>
        <w:t xml:space="preserve">2、"残疾人保障金"项目年初预算排4.5万元，项目主要目标为按照标准提取的残疾人保障金。</w:t>
      </w:r>
    </w:p>
    <w:p>
      <w:pPr>
        <w:pStyle w:val="插入文本样式-插入职责分类绩效目标文件"/>
      </w:pPr>
      <w:r>
        <w:t xml:space="preserve">二、人员经费绩效目标</w:t>
      </w:r>
    </w:p>
    <w:p>
      <w:pPr>
        <w:pStyle w:val="插入文本样式-插入职责分类绩效目标文件"/>
      </w:pPr>
      <w:r>
        <w:t xml:space="preserve">人员经费年初预算安排648.88万元，项目主要目标为保障单位在职人员工资正常发放、保险正常缴纳，福利待遇正常享受。</w:t>
      </w:r>
    </w:p>
    <w:p>
      <w:pPr>
        <w:pStyle w:val="插入文本样式-插入职责分类绩效目标文件"/>
      </w:pPr>
      <w:r>
        <w:t xml:space="preserve">三、日常公用经费绩效目标</w:t>
      </w:r>
    </w:p>
    <w:p>
      <w:pPr>
        <w:pStyle w:val="插入文本样式-插入职责分类绩效目标文件"/>
      </w:pPr>
      <w:r>
        <w:t xml:space="preserve">日常公用经费年初预算安排20.05万元，此项目标主要为保障机关各项工作正常运行。</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一、严格按照社会保险法和社会保险经办规程开展各项基金的收支业务</w:t>
      </w:r>
    </w:p>
    <w:p>
      <w:pPr>
        <w:pStyle w:val="插入文本样式-插入实现年度发展规划目标的保障措施文件"/>
      </w:pPr>
      <w:r>
        <w:t xml:space="preserve">二、各基金险种严格按照指标文件标准进行拨款和使用</w:t>
      </w:r>
    </w:p>
    <w:p>
      <w:pPr>
        <w:pStyle w:val="插入文本样式-插入实现年度发展规划目标的保障措施文件"/>
      </w:pPr>
      <w:r>
        <w:t xml:space="preserve">三、加强内部监督，定期开展自查</w:t>
      </w:r>
    </w:p>
    <w:p>
      <w:pPr>
        <w:pStyle w:val="插入文本样式-插入实现年度发展规划目标的保障措施文件"/>
      </w:pPr>
      <w:r>
        <w:t xml:space="preserve">四、配合省市定期基金检查，发现问题及时整改</w:t>
      </w:r>
    </w:p>
    <w:p>
      <w:pPr>
        <w:pStyle w:val="插入文本样式-插入实现年度发展规划目标的保障措施文件"/>
      </w:pPr>
      <w:r>
        <w:t xml:space="preserve">五、严格落实内控制度、审批制度</w:t>
      </w:r>
    </w:p>
    <w:p>
      <w:pPr>
        <w:pStyle w:val="插入文本样式-插入实现年度发展规划目标的保障措施文件"/>
      </w:pPr>
      <w:r>
        <w:t xml:space="preserve">六、严格按照岗位权限设置进行工作，定期轮岗</w:t>
      </w:r>
    </w:p>
    <w:p>
      <w:pPr>
        <w:pStyle w:val="插入文本样式-插入实现年度发展规划目标的保障措施文件"/>
      </w:pPr>
      <w:r>
        <w:t xml:space="preserve">七、加大宣传力度，扩大企业基本养老保险覆盖面。贯彻《中华人民共和国社会保险法》，印制宣传资料，组织我局工作人员上街及深入企业进行大力宣传；在组织企业换发社会保险登记证的同时，发放《社会保险法》宣传资料，扩大社会保险的影响力，促进城镇个体工商户、灵活就业人员、私营企业劳动者积极参保。</w:t>
      </w:r>
    </w:p>
    <w:p>
      <w:pPr>
        <w:pStyle w:val="插入文本样式-插入实现年度发展规划目标的保障措施文件"/>
      </w:pPr>
      <w:r>
        <w:t xml:space="preserve">八继续开展以工伤保险待遇支付为重点的稽核工作，将养老保险缴费人数与工伤保险缴费人数挂钩，纳入稽核工作内容，进一步加大养老保险、工伤保险扩面力度，力争工伤保险全覆盖。　　</w:t>
      </w:r>
    </w:p>
    <w:p>
      <w:pPr>
        <w:pStyle w:val="插入文本样式-插入实现年度发展规划目标的保障措施文件"/>
      </w:pPr>
      <w:r>
        <w:t xml:space="preserve">九确保企业养老、失业、工伤保险“三险合一”软件的正常运转，做好基金征缴工作。养老、失业、工伤、城乡居民保险费依法依规、按时足额征缴，完成省市县各级主管部门下达的任务目标。</w:t>
      </w:r>
    </w:p>
    <w:p>
      <w:pPr>
        <w:pStyle w:val="插入文本样式-插入实现年度发展规划目标的保障措施文件"/>
      </w:pPr>
      <w:r>
        <w:t xml:space="preserve">十发放相关待遇时，严格审核企业以及待遇领取人上报的相关材料，严格履行审批手续，确保各项待遇发放及时、规范。</w:t>
      </w:r>
    </w:p>
    <w:p>
      <w:pPr>
        <w:pStyle w:val="插入文本样式-插入实现年度发展规划目标的保障措施文件"/>
      </w:pPr>
      <w:r>
        <w:t xml:space="preserve">十一按照上级要求和我局工作计划做好相关待遇领取人员资格认证工作，使离退休人员足不出户就可完成生存认证,坚决杜绝冒领社会保险待遇现象的发生。</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1.残疾人保障金绩效目标表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326001玉田县社会保险服务中心本级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13022925P00JXC419626Y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1.单位负担的残疾人保障金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残疾人基本服务状况和需求专项调</w:t>
            </w:r>
          </w:p>
        </w:tc>
        <w:tc>
          <w:tcPr>
            <w:tcW w:w="2891" w:type="dxa"/>
            <w:vAlign w:val="center"/>
          </w:tcPr>
          <w:p>
            <w:pPr>
              <w:pStyle w:val="单元格样式2"/>
            </w:pPr>
            <w:r>
              <w:t xml:space="preserve">残疾人基本服务状况和需求专项调查数据动态更新培训率</w:t>
            </w:r>
          </w:p>
        </w:tc>
        <w:tc>
          <w:tcPr>
            <w:tcW w:w="1276" w:type="dxa"/>
            <w:vAlign w:val="center"/>
          </w:tcPr>
          <w:p>
            <w:pPr>
              <w:pStyle w:val="单元格样式2"/>
            </w:pPr>
            <w:r>
              <w:t xml:space="preserve">≥95保障数量</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残疾人康复服务质量</w:t>
            </w:r>
          </w:p>
          <w:p>
            <w:pPr>
              <w:pStyle w:val="单元格样式2"/>
            </w:pPr>
          </w:p>
        </w:tc>
        <w:tc>
          <w:tcPr>
            <w:tcW w:w="2891" w:type="dxa"/>
            <w:vAlign w:val="center"/>
          </w:tcPr>
          <w:p>
            <w:pPr>
              <w:pStyle w:val="单元格样式2"/>
            </w:pPr>
            <w:r>
              <w:t xml:space="preserve">残疾人康复服务质量</w:t>
            </w:r>
          </w:p>
          <w:p>
            <w:pPr>
              <w:pStyle w:val="单元格样式2"/>
            </w:pPr>
          </w:p>
        </w:tc>
        <w:tc>
          <w:tcPr>
            <w:tcW w:w="1276" w:type="dxa"/>
            <w:vAlign w:val="center"/>
          </w:tcPr>
          <w:p>
            <w:pPr>
              <w:pStyle w:val="单元格样式2"/>
            </w:pPr>
            <w:r>
              <w:t xml:space="preserve">≥95保障质量</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时效指标</w:t>
            </w:r>
          </w:p>
        </w:tc>
        <w:tc>
          <w:tcPr>
            <w:tcW w:w="2891" w:type="dxa"/>
            <w:vAlign w:val="center"/>
          </w:tcPr>
          <w:p>
            <w:pPr>
              <w:pStyle w:val="单元格样式2"/>
            </w:pPr>
            <w:r>
              <w:t xml:space="preserve">时效指标</w:t>
            </w:r>
          </w:p>
        </w:tc>
        <w:tc>
          <w:tcPr>
            <w:tcW w:w="1276" w:type="dxa"/>
            <w:vAlign w:val="center"/>
          </w:tcPr>
          <w:p>
            <w:pPr>
              <w:pStyle w:val="单元格样式2"/>
            </w:pPr>
            <w:r>
              <w:t xml:space="preserve">100及时性</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项目总预算控制额</w:t>
            </w:r>
          </w:p>
        </w:tc>
        <w:tc>
          <w:tcPr>
            <w:tcW w:w="1276" w:type="dxa"/>
            <w:vAlign w:val="center"/>
          </w:tcPr>
          <w:p>
            <w:pPr>
              <w:pStyle w:val="单元格样式2"/>
            </w:pPr>
            <w:r>
              <w:t xml:space="preserve">100降低成本</w:t>
            </w:r>
          </w:p>
        </w:tc>
        <w:tc>
          <w:tcPr>
            <w:tcW w:w="1843" w:type="dxa"/>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vAlign w:val="center"/>
          </w:tcPr>
          <w:p>
            <w:pPr>
              <w:pStyle w:val="单元格样式2"/>
            </w:pPr>
            <w:r>
              <w:t xml:space="preserve">资金使用效益</w:t>
            </w:r>
          </w:p>
        </w:tc>
        <w:tc>
          <w:tcPr>
            <w:tcW w:w="1276" w:type="dxa"/>
            <w:vAlign w:val="center"/>
          </w:tcPr>
          <w:p>
            <w:pPr>
              <w:pStyle w:val="单元格样式2"/>
            </w:pPr>
            <w:r>
              <w:t xml:space="preserve">≥95经济效益</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社会效益显著</w:t>
            </w:r>
          </w:p>
        </w:tc>
        <w:tc>
          <w:tcPr>
            <w:tcW w:w="2891" w:type="dxa"/>
            <w:vAlign w:val="center"/>
          </w:tcPr>
          <w:p>
            <w:pPr>
              <w:pStyle w:val="单元格样式2"/>
            </w:pPr>
            <w:r>
              <w:t xml:space="preserve">社会效益显著</w:t>
            </w:r>
          </w:p>
        </w:tc>
        <w:tc>
          <w:tcPr>
            <w:tcW w:w="1276" w:type="dxa"/>
            <w:vAlign w:val="center"/>
          </w:tcPr>
          <w:p>
            <w:pPr>
              <w:pStyle w:val="单元格样式2"/>
            </w:pPr>
            <w:r>
              <w:t xml:space="preserve">≥95社会效益</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vAlign w:val="center"/>
          </w:tcPr>
          <w:p>
            <w:pPr>
              <w:pStyle w:val="单元格样式2"/>
            </w:pPr>
            <w:r>
              <w:t xml:space="preserve">生态效益指标</w:t>
            </w:r>
          </w:p>
        </w:tc>
        <w:tc>
          <w:tcPr>
            <w:tcW w:w="1276" w:type="dxa"/>
            <w:vAlign w:val="center"/>
          </w:tcPr>
          <w:p>
            <w:pPr>
              <w:pStyle w:val="单元格样式2"/>
            </w:pPr>
            <w:r>
              <w:t xml:space="preserve">≥95生态效益</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可持续性服务</w:t>
            </w:r>
          </w:p>
        </w:tc>
        <w:tc>
          <w:tcPr>
            <w:tcW w:w="1276" w:type="dxa"/>
            <w:vAlign w:val="center"/>
          </w:tcPr>
          <w:p>
            <w:pPr>
              <w:pStyle w:val="单元格样式2"/>
            </w:pPr>
            <w:r>
              <w:t xml:space="preserve">≥95可持续性</w:t>
            </w:r>
          </w:p>
        </w:tc>
        <w:tc>
          <w:tcPr>
            <w:tcW w:w="1843" w:type="dxa"/>
            <w:vAlign w:val="center"/>
          </w:tcPr>
          <w:p>
            <w:pPr>
              <w:pStyle w:val="单元格样式2"/>
            </w:pPr>
            <w:r>
              <w:t xml:space="preserve">残疾人保障金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对象满意度</w:t>
            </w:r>
          </w:p>
        </w:tc>
        <w:tc>
          <w:tcPr>
            <w:tcW w:w="2891" w:type="dxa"/>
            <w:vAlign w:val="center"/>
          </w:tcPr>
          <w:p>
            <w:pPr>
              <w:pStyle w:val="单元格样式2"/>
            </w:pPr>
            <w:r>
              <w:t xml:space="preserve">对象满意度</w:t>
            </w:r>
          </w:p>
        </w:tc>
        <w:tc>
          <w:tcPr>
            <w:tcW w:w="1276" w:type="dxa"/>
            <w:vAlign w:val="center"/>
          </w:tcPr>
          <w:p>
            <w:pPr>
              <w:pStyle w:val="单元格样式2"/>
            </w:pPr>
            <w:r>
              <w:t xml:space="preserve">≥95满意度</w:t>
            </w:r>
          </w:p>
        </w:tc>
        <w:tc>
          <w:tcPr>
            <w:tcW w:w="1843" w:type="dxa"/>
            <w:vAlign w:val="center"/>
          </w:tcPr>
          <w:p>
            <w:pPr>
              <w:pStyle w:val="单元格样式2"/>
            </w:pPr>
            <w:r>
              <w:t xml:space="preserve">残疾人保障金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2.专项业务费绩效目标表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326001玉田县社会保险服务中心本级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13022925P00JXC410328E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专项业务费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补助社会保险经办机构运转缺口</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1.补助社会保险经办机构正常运转经费缺口</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达到上级要求</w:t>
            </w:r>
          </w:p>
        </w:tc>
        <w:tc>
          <w:tcPr>
            <w:tcW w:w="2891" w:type="dxa"/>
            <w:vAlign w:val="center"/>
          </w:tcPr>
          <w:p>
            <w:pPr>
              <w:pStyle w:val="单元格样式2"/>
            </w:pPr>
            <w:r>
              <w:t xml:space="preserve">达到上级部门要求完成的任务</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经费保证能力</w:t>
            </w:r>
          </w:p>
        </w:tc>
        <w:tc>
          <w:tcPr>
            <w:tcW w:w="2891" w:type="dxa"/>
            <w:vAlign w:val="center"/>
          </w:tcPr>
          <w:p>
            <w:pPr>
              <w:pStyle w:val="单元格样式2"/>
            </w:pPr>
            <w:r>
              <w:t xml:space="preserve">保证日常工作正常运转的能力</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报告完成</w:t>
            </w:r>
          </w:p>
        </w:tc>
        <w:tc>
          <w:tcPr>
            <w:tcW w:w="2891" w:type="dxa"/>
            <w:vAlign w:val="center"/>
          </w:tcPr>
          <w:p>
            <w:pPr>
              <w:pStyle w:val="单元格样式2"/>
            </w:pPr>
            <w:r>
              <w:t xml:space="preserve">提交年度报告时间节点</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vAlign w:val="center"/>
          </w:tcPr>
          <w:p>
            <w:pPr>
              <w:pStyle w:val="单元格样式2"/>
            </w:pPr>
            <w:r>
              <w:t xml:space="preserve">运行保障成本</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效益指标</w:t>
            </w:r>
          </w:p>
        </w:tc>
        <w:tc>
          <w:tcPr>
            <w:tcW w:w="2891" w:type="dxa"/>
            <w:vAlign w:val="center"/>
          </w:tcPr>
          <w:p>
            <w:pPr>
              <w:pStyle w:val="单元格样式2"/>
            </w:pPr>
            <w:r>
              <w:t xml:space="preserve">合理人员开支</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促进社会稳定水平逐步提高</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vAlign w:val="center"/>
          </w:tcPr>
          <w:p>
            <w:pPr>
              <w:pStyle w:val="单元格样式2"/>
            </w:pPr>
            <w:r>
              <w:t xml:space="preserve">节约专用材料成本</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社会保障制度更加公平可持续</w:t>
            </w:r>
          </w:p>
        </w:tc>
        <w:tc>
          <w:tcPr>
            <w:tcW w:w="2891" w:type="dxa"/>
            <w:vAlign w:val="center"/>
          </w:tcPr>
          <w:p>
            <w:pPr>
              <w:pStyle w:val="单元格样式2"/>
            </w:pPr>
            <w:r>
              <w:t xml:space="preserve">社会保障制度更加公平可持续</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≥90完成各项基金预算</w:t>
            </w:r>
          </w:p>
        </w:tc>
        <w:tc>
          <w:tcPr>
            <w:tcW w:w="1843" w:type="dxa"/>
            <w:vAlign w:val="center"/>
          </w:tcPr>
          <w:p>
            <w:pPr>
              <w:pStyle w:val="单元格样式2"/>
            </w:pPr>
            <w:r>
              <w:t xml:space="preserve">保障社保经办机构正常运转</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2025-01-17T18:14:08Z</dcterms:created>
  <dcterms:modified xsi:type="dcterms:W3CDTF">2025-01-17T18:14:08Z</dcterms:modified>
</cp:coreProperties>
</file>