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一、玉田县鸦鸿桥镇人民政府本级收支预算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一、玉田县鸦鸿桥镇人民政府本级收支预算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20966224.56</w:t>
            </w:r>
          </w:p>
        </w:tc>
        <w:tc>
          <w:tcPr>
            <w:tcW w:w="4535" w:type="dxa"/>
            <w:vAlign w:val="center"/>
          </w:tcPr>
          <w:p>
            <w:pPr>
              <w:pStyle w:val="12"/>
            </w:pPr>
            <w:r>
              <w:t>一、一般公共服务支出</w:t>
            </w:r>
          </w:p>
        </w:tc>
        <w:tc>
          <w:tcPr>
            <w:tcW w:w="2126" w:type="dxa"/>
            <w:vAlign w:val="center"/>
          </w:tcPr>
          <w:p>
            <w:pPr>
              <w:pStyle w:val="11"/>
            </w:pPr>
            <w:r>
              <w:t>20830224.56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11620000.00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32586224.56</w:t>
            </w:r>
          </w:p>
        </w:tc>
        <w:tc>
          <w:tcPr>
            <w:tcW w:w="4535" w:type="dxa"/>
            <w:vAlign w:val="center"/>
          </w:tcPr>
          <w:p>
            <w:pPr>
              <w:pStyle w:val="14"/>
            </w:pPr>
            <w:r>
              <w:t>本年支出合计</w:t>
            </w:r>
          </w:p>
        </w:tc>
        <w:tc>
          <w:tcPr>
            <w:tcW w:w="2126" w:type="dxa"/>
            <w:vAlign w:val="center"/>
          </w:tcPr>
          <w:p>
            <w:pPr>
              <w:pStyle w:val="15"/>
            </w:pPr>
            <w:r>
              <w:t>32586224.56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32586224.56</w:t>
            </w:r>
          </w:p>
        </w:tc>
        <w:tc>
          <w:tcPr>
            <w:tcW w:w="4535" w:type="dxa"/>
            <w:vAlign w:val="center"/>
          </w:tcPr>
          <w:p>
            <w:pPr>
              <w:pStyle w:val="14"/>
            </w:pPr>
            <w:r>
              <w:t>支出总计</w:t>
            </w:r>
          </w:p>
        </w:tc>
        <w:tc>
          <w:tcPr>
            <w:tcW w:w="2126" w:type="dxa"/>
            <w:vAlign w:val="center"/>
          </w:tcPr>
          <w:p>
            <w:pPr>
              <w:pStyle w:val="15"/>
            </w:pPr>
            <w:r>
              <w:t>32586224.56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32586224.56</w:t>
            </w:r>
          </w:p>
        </w:tc>
        <w:tc>
          <w:tcPr>
            <w:tcW w:w="1134" w:type="dxa"/>
            <w:vAlign w:val="center"/>
          </w:tcPr>
          <w:p>
            <w:pPr>
              <w:pStyle w:val="15"/>
            </w:pPr>
            <w:r>
              <w:t>32586224.56</w:t>
            </w:r>
          </w:p>
        </w:tc>
        <w:tc>
          <w:tcPr>
            <w:tcW w:w="1134" w:type="dxa"/>
            <w:vAlign w:val="center"/>
          </w:tcPr>
          <w:p>
            <w:pPr>
              <w:pStyle w:val="15"/>
            </w:pPr>
            <w:r>
              <w:t>32586224.56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20830224.56</w:t>
            </w:r>
          </w:p>
        </w:tc>
        <w:tc>
          <w:tcPr>
            <w:tcW w:w="1134" w:type="dxa"/>
            <w:vAlign w:val="center"/>
          </w:tcPr>
          <w:p>
            <w:pPr>
              <w:pStyle w:val="11"/>
            </w:pPr>
            <w:r>
              <w:t>20830224.56</w:t>
            </w:r>
          </w:p>
        </w:tc>
        <w:tc>
          <w:tcPr>
            <w:tcW w:w="1134" w:type="dxa"/>
            <w:vAlign w:val="center"/>
          </w:tcPr>
          <w:p>
            <w:pPr>
              <w:pStyle w:val="11"/>
            </w:pPr>
            <w:r>
              <w:t>20830224.56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20810224.56</w:t>
            </w:r>
          </w:p>
        </w:tc>
        <w:tc>
          <w:tcPr>
            <w:tcW w:w="1134" w:type="dxa"/>
            <w:vAlign w:val="center"/>
          </w:tcPr>
          <w:p>
            <w:pPr>
              <w:pStyle w:val="11"/>
            </w:pPr>
            <w:r>
              <w:t>20810224.56</w:t>
            </w:r>
          </w:p>
        </w:tc>
        <w:tc>
          <w:tcPr>
            <w:tcW w:w="1134" w:type="dxa"/>
            <w:vAlign w:val="center"/>
          </w:tcPr>
          <w:p>
            <w:pPr>
              <w:pStyle w:val="11"/>
            </w:pPr>
            <w:r>
              <w:t>20810224.56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20810224.56</w:t>
            </w:r>
          </w:p>
        </w:tc>
        <w:tc>
          <w:tcPr>
            <w:tcW w:w="1134" w:type="dxa"/>
            <w:vAlign w:val="center"/>
          </w:tcPr>
          <w:p>
            <w:pPr>
              <w:pStyle w:val="11"/>
            </w:pPr>
            <w:r>
              <w:t>20810224.56</w:t>
            </w:r>
          </w:p>
        </w:tc>
        <w:tc>
          <w:tcPr>
            <w:tcW w:w="1134" w:type="dxa"/>
            <w:vAlign w:val="center"/>
          </w:tcPr>
          <w:p>
            <w:pPr>
              <w:pStyle w:val="11"/>
            </w:pPr>
            <w:r>
              <w:t>20810224.56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116000.00</w:t>
            </w:r>
          </w:p>
        </w:tc>
        <w:tc>
          <w:tcPr>
            <w:tcW w:w="1134" w:type="dxa"/>
            <w:vAlign w:val="center"/>
          </w:tcPr>
          <w:p>
            <w:pPr>
              <w:pStyle w:val="11"/>
            </w:pPr>
            <w:r>
              <w:t>116000.00</w:t>
            </w:r>
          </w:p>
        </w:tc>
        <w:tc>
          <w:tcPr>
            <w:tcW w:w="1134" w:type="dxa"/>
            <w:vAlign w:val="center"/>
          </w:tcPr>
          <w:p>
            <w:pPr>
              <w:pStyle w:val="11"/>
            </w:pPr>
            <w:r>
              <w:t>116000.00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116000.00</w:t>
            </w:r>
          </w:p>
        </w:tc>
        <w:tc>
          <w:tcPr>
            <w:tcW w:w="1134" w:type="dxa"/>
            <w:vAlign w:val="center"/>
          </w:tcPr>
          <w:p>
            <w:pPr>
              <w:pStyle w:val="11"/>
            </w:pPr>
            <w:r>
              <w:t>116000.00</w:t>
            </w:r>
          </w:p>
        </w:tc>
        <w:tc>
          <w:tcPr>
            <w:tcW w:w="1134" w:type="dxa"/>
            <w:vAlign w:val="center"/>
          </w:tcPr>
          <w:p>
            <w:pPr>
              <w:pStyle w:val="11"/>
            </w:pPr>
            <w:r>
              <w:t>116000.00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116000.00</w:t>
            </w:r>
          </w:p>
        </w:tc>
        <w:tc>
          <w:tcPr>
            <w:tcW w:w="1134" w:type="dxa"/>
            <w:vAlign w:val="center"/>
          </w:tcPr>
          <w:p>
            <w:pPr>
              <w:pStyle w:val="11"/>
            </w:pPr>
            <w:r>
              <w:t>116000.00</w:t>
            </w:r>
          </w:p>
        </w:tc>
        <w:tc>
          <w:tcPr>
            <w:tcW w:w="1134" w:type="dxa"/>
            <w:vAlign w:val="center"/>
          </w:tcPr>
          <w:p>
            <w:pPr>
              <w:pStyle w:val="11"/>
            </w:pPr>
            <w:r>
              <w:t>116000.00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11620000.00</w:t>
            </w:r>
          </w:p>
        </w:tc>
        <w:tc>
          <w:tcPr>
            <w:tcW w:w="1134" w:type="dxa"/>
            <w:vAlign w:val="center"/>
          </w:tcPr>
          <w:p>
            <w:pPr>
              <w:pStyle w:val="11"/>
            </w:pPr>
            <w:r>
              <w:t>11620000.00</w:t>
            </w:r>
          </w:p>
        </w:tc>
        <w:tc>
          <w:tcPr>
            <w:tcW w:w="1134" w:type="dxa"/>
            <w:vAlign w:val="center"/>
          </w:tcPr>
          <w:p>
            <w:pPr>
              <w:pStyle w:val="11"/>
            </w:pPr>
            <w:r>
              <w:t>11620000.00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11620000.00</w:t>
            </w:r>
          </w:p>
        </w:tc>
        <w:tc>
          <w:tcPr>
            <w:tcW w:w="1134" w:type="dxa"/>
            <w:vAlign w:val="center"/>
          </w:tcPr>
          <w:p>
            <w:pPr>
              <w:pStyle w:val="11"/>
            </w:pPr>
            <w:r>
              <w:t>11620000.00</w:t>
            </w:r>
          </w:p>
        </w:tc>
        <w:tc>
          <w:tcPr>
            <w:tcW w:w="1134" w:type="dxa"/>
            <w:vAlign w:val="center"/>
          </w:tcPr>
          <w:p>
            <w:pPr>
              <w:pStyle w:val="11"/>
            </w:pPr>
            <w:r>
              <w:t>11620000.00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11620000.00</w:t>
            </w:r>
          </w:p>
        </w:tc>
        <w:tc>
          <w:tcPr>
            <w:tcW w:w="1134" w:type="dxa"/>
            <w:vAlign w:val="center"/>
          </w:tcPr>
          <w:p>
            <w:pPr>
              <w:pStyle w:val="11"/>
            </w:pPr>
            <w:r>
              <w:t>11620000.00</w:t>
            </w:r>
          </w:p>
        </w:tc>
        <w:tc>
          <w:tcPr>
            <w:tcW w:w="1134" w:type="dxa"/>
            <w:vAlign w:val="center"/>
          </w:tcPr>
          <w:p>
            <w:pPr>
              <w:pStyle w:val="11"/>
            </w:pPr>
            <w:r>
              <w:t>11620000.00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32586224.56</w:t>
            </w:r>
          </w:p>
        </w:tc>
        <w:tc>
          <w:tcPr>
            <w:tcW w:w="1361" w:type="dxa"/>
            <w:vAlign w:val="center"/>
          </w:tcPr>
          <w:p>
            <w:pPr>
              <w:pStyle w:val="15"/>
            </w:pPr>
            <w:r>
              <w:t>18663024.56</w:t>
            </w:r>
          </w:p>
        </w:tc>
        <w:tc>
          <w:tcPr>
            <w:tcW w:w="1361" w:type="dxa"/>
            <w:vAlign w:val="center"/>
          </w:tcPr>
          <w:p>
            <w:pPr>
              <w:pStyle w:val="15"/>
            </w:pPr>
            <w:r>
              <w:t>13923200.00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20830224.56</w:t>
            </w:r>
          </w:p>
        </w:tc>
        <w:tc>
          <w:tcPr>
            <w:tcW w:w="1361" w:type="dxa"/>
            <w:vAlign w:val="center"/>
          </w:tcPr>
          <w:p>
            <w:pPr>
              <w:pStyle w:val="11"/>
            </w:pPr>
            <w:r>
              <w:t>18663024.56</w:t>
            </w:r>
          </w:p>
        </w:tc>
        <w:tc>
          <w:tcPr>
            <w:tcW w:w="1361" w:type="dxa"/>
            <w:vAlign w:val="center"/>
          </w:tcPr>
          <w:p>
            <w:pPr>
              <w:pStyle w:val="11"/>
            </w:pPr>
            <w:r>
              <w:t>2167200.00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20810224.56</w:t>
            </w:r>
          </w:p>
        </w:tc>
        <w:tc>
          <w:tcPr>
            <w:tcW w:w="1361" w:type="dxa"/>
            <w:vAlign w:val="center"/>
          </w:tcPr>
          <w:p>
            <w:pPr>
              <w:pStyle w:val="11"/>
            </w:pPr>
            <w:r>
              <w:t>18663024.56</w:t>
            </w:r>
          </w:p>
        </w:tc>
        <w:tc>
          <w:tcPr>
            <w:tcW w:w="1361" w:type="dxa"/>
            <w:vAlign w:val="center"/>
          </w:tcPr>
          <w:p>
            <w:pPr>
              <w:pStyle w:val="11"/>
            </w:pPr>
            <w:r>
              <w:t>2147200.00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20810224.56</w:t>
            </w:r>
          </w:p>
        </w:tc>
        <w:tc>
          <w:tcPr>
            <w:tcW w:w="1361" w:type="dxa"/>
            <w:vAlign w:val="center"/>
          </w:tcPr>
          <w:p>
            <w:pPr>
              <w:pStyle w:val="11"/>
            </w:pPr>
            <w:r>
              <w:t>18663024.56</w:t>
            </w:r>
          </w:p>
        </w:tc>
        <w:tc>
          <w:tcPr>
            <w:tcW w:w="1361" w:type="dxa"/>
            <w:vAlign w:val="center"/>
          </w:tcPr>
          <w:p>
            <w:pPr>
              <w:pStyle w:val="11"/>
            </w:pPr>
            <w:r>
              <w:t>2147200.00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116000.00</w:t>
            </w:r>
          </w:p>
        </w:tc>
        <w:tc>
          <w:tcPr>
            <w:tcW w:w="1361" w:type="dxa"/>
            <w:vAlign w:val="center"/>
          </w:tcPr>
          <w:p>
            <w:pPr>
              <w:pStyle w:val="11"/>
            </w:pPr>
          </w:p>
        </w:tc>
        <w:tc>
          <w:tcPr>
            <w:tcW w:w="1361" w:type="dxa"/>
            <w:vAlign w:val="center"/>
          </w:tcPr>
          <w:p>
            <w:pPr>
              <w:pStyle w:val="11"/>
            </w:pPr>
            <w:r>
              <w:t>116000.00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116000.00</w:t>
            </w:r>
          </w:p>
        </w:tc>
        <w:tc>
          <w:tcPr>
            <w:tcW w:w="1361" w:type="dxa"/>
            <w:vAlign w:val="center"/>
          </w:tcPr>
          <w:p>
            <w:pPr>
              <w:pStyle w:val="11"/>
            </w:pPr>
          </w:p>
        </w:tc>
        <w:tc>
          <w:tcPr>
            <w:tcW w:w="1361" w:type="dxa"/>
            <w:vAlign w:val="center"/>
          </w:tcPr>
          <w:p>
            <w:pPr>
              <w:pStyle w:val="11"/>
            </w:pPr>
            <w:r>
              <w:t>116000.00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116000.00</w:t>
            </w:r>
          </w:p>
        </w:tc>
        <w:tc>
          <w:tcPr>
            <w:tcW w:w="1361" w:type="dxa"/>
            <w:vAlign w:val="center"/>
          </w:tcPr>
          <w:p>
            <w:pPr>
              <w:pStyle w:val="11"/>
            </w:pPr>
          </w:p>
        </w:tc>
        <w:tc>
          <w:tcPr>
            <w:tcW w:w="1361" w:type="dxa"/>
            <w:vAlign w:val="center"/>
          </w:tcPr>
          <w:p>
            <w:pPr>
              <w:pStyle w:val="11"/>
            </w:pPr>
            <w:r>
              <w:t>116000.00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11620000.00</w:t>
            </w:r>
          </w:p>
        </w:tc>
        <w:tc>
          <w:tcPr>
            <w:tcW w:w="1361" w:type="dxa"/>
            <w:vAlign w:val="center"/>
          </w:tcPr>
          <w:p>
            <w:pPr>
              <w:pStyle w:val="11"/>
            </w:pPr>
          </w:p>
        </w:tc>
        <w:tc>
          <w:tcPr>
            <w:tcW w:w="1361" w:type="dxa"/>
            <w:vAlign w:val="center"/>
          </w:tcPr>
          <w:p>
            <w:pPr>
              <w:pStyle w:val="11"/>
            </w:pPr>
            <w:r>
              <w:t>11620000.00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11620000.00</w:t>
            </w:r>
          </w:p>
        </w:tc>
        <w:tc>
          <w:tcPr>
            <w:tcW w:w="1361" w:type="dxa"/>
            <w:vAlign w:val="center"/>
          </w:tcPr>
          <w:p>
            <w:pPr>
              <w:pStyle w:val="11"/>
            </w:pPr>
          </w:p>
        </w:tc>
        <w:tc>
          <w:tcPr>
            <w:tcW w:w="1361" w:type="dxa"/>
            <w:vAlign w:val="center"/>
          </w:tcPr>
          <w:p>
            <w:pPr>
              <w:pStyle w:val="11"/>
            </w:pPr>
            <w:r>
              <w:t>11620000.00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11620000.00</w:t>
            </w:r>
          </w:p>
        </w:tc>
        <w:tc>
          <w:tcPr>
            <w:tcW w:w="1361" w:type="dxa"/>
            <w:vAlign w:val="center"/>
          </w:tcPr>
          <w:p>
            <w:pPr>
              <w:pStyle w:val="11"/>
            </w:pPr>
          </w:p>
        </w:tc>
        <w:tc>
          <w:tcPr>
            <w:tcW w:w="1361" w:type="dxa"/>
            <w:vAlign w:val="center"/>
          </w:tcPr>
          <w:p>
            <w:pPr>
              <w:pStyle w:val="11"/>
            </w:pPr>
            <w:r>
              <w:t>11620000.00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2130316</w:t>
            </w:r>
          </w:p>
        </w:tc>
        <w:tc>
          <w:tcPr>
            <w:tcW w:w="4535" w:type="dxa"/>
            <w:vAlign w:val="center"/>
          </w:tcPr>
          <w:p>
            <w:pPr>
              <w:pStyle w:val="12"/>
            </w:pPr>
            <w:r>
              <w:t>农村水利</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20966224.56</w:t>
            </w:r>
          </w:p>
        </w:tc>
        <w:tc>
          <w:tcPr>
            <w:tcW w:w="3402" w:type="dxa"/>
            <w:vAlign w:val="center"/>
          </w:tcPr>
          <w:p>
            <w:pPr>
              <w:pStyle w:val="12"/>
            </w:pPr>
            <w:r>
              <w:t>一、一般公共服务支出</w:t>
            </w:r>
          </w:p>
        </w:tc>
        <w:tc>
          <w:tcPr>
            <w:tcW w:w="1474" w:type="dxa"/>
            <w:vAlign w:val="center"/>
          </w:tcPr>
          <w:p>
            <w:pPr>
              <w:pStyle w:val="11"/>
            </w:pPr>
            <w:r>
              <w:t>20830224.56</w:t>
            </w:r>
          </w:p>
        </w:tc>
        <w:tc>
          <w:tcPr>
            <w:tcW w:w="1474" w:type="dxa"/>
            <w:vAlign w:val="center"/>
          </w:tcPr>
          <w:p>
            <w:pPr>
              <w:pStyle w:val="11"/>
            </w:pPr>
            <w:r>
              <w:t>20830224.56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11620000.00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116000.00</w:t>
            </w:r>
          </w:p>
        </w:tc>
        <w:tc>
          <w:tcPr>
            <w:tcW w:w="1474" w:type="dxa"/>
            <w:vAlign w:val="center"/>
          </w:tcPr>
          <w:p>
            <w:pPr>
              <w:pStyle w:val="11"/>
            </w:pPr>
            <w:r>
              <w:t>116000.00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11620000.00</w:t>
            </w:r>
          </w:p>
        </w:tc>
        <w:tc>
          <w:tcPr>
            <w:tcW w:w="1474" w:type="dxa"/>
            <w:vAlign w:val="center"/>
          </w:tcPr>
          <w:p>
            <w:pPr>
              <w:pStyle w:val="11"/>
            </w:pPr>
          </w:p>
        </w:tc>
        <w:tc>
          <w:tcPr>
            <w:tcW w:w="1474" w:type="dxa"/>
            <w:vAlign w:val="center"/>
          </w:tcPr>
          <w:p>
            <w:pPr>
              <w:pStyle w:val="11"/>
            </w:pPr>
            <w:r>
              <w:t>11620000.00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32586224.56</w:t>
            </w:r>
          </w:p>
        </w:tc>
        <w:tc>
          <w:tcPr>
            <w:tcW w:w="3402" w:type="dxa"/>
            <w:vAlign w:val="center"/>
          </w:tcPr>
          <w:p>
            <w:pPr>
              <w:pStyle w:val="14"/>
            </w:pPr>
            <w:r>
              <w:t>本年支出合计</w:t>
            </w:r>
          </w:p>
        </w:tc>
        <w:tc>
          <w:tcPr>
            <w:tcW w:w="1474" w:type="dxa"/>
            <w:vAlign w:val="center"/>
          </w:tcPr>
          <w:p>
            <w:pPr>
              <w:pStyle w:val="15"/>
            </w:pPr>
            <w:r>
              <w:t>32586224.56</w:t>
            </w:r>
          </w:p>
        </w:tc>
        <w:tc>
          <w:tcPr>
            <w:tcW w:w="1474" w:type="dxa"/>
            <w:vAlign w:val="center"/>
          </w:tcPr>
          <w:p>
            <w:pPr>
              <w:pStyle w:val="15"/>
            </w:pPr>
            <w:r>
              <w:t>20966224.56</w:t>
            </w:r>
          </w:p>
        </w:tc>
        <w:tc>
          <w:tcPr>
            <w:tcW w:w="1474" w:type="dxa"/>
            <w:vAlign w:val="center"/>
          </w:tcPr>
          <w:p>
            <w:pPr>
              <w:pStyle w:val="15"/>
            </w:pPr>
            <w:r>
              <w:t>11620000.00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32586224.56</w:t>
            </w:r>
          </w:p>
        </w:tc>
        <w:tc>
          <w:tcPr>
            <w:tcW w:w="3402" w:type="dxa"/>
            <w:vAlign w:val="center"/>
          </w:tcPr>
          <w:p>
            <w:pPr>
              <w:pStyle w:val="14"/>
            </w:pPr>
            <w:r>
              <w:t>支出总计</w:t>
            </w:r>
          </w:p>
        </w:tc>
        <w:tc>
          <w:tcPr>
            <w:tcW w:w="1474" w:type="dxa"/>
            <w:vAlign w:val="center"/>
          </w:tcPr>
          <w:p>
            <w:pPr>
              <w:pStyle w:val="15"/>
            </w:pPr>
            <w:r>
              <w:t>32586224.56</w:t>
            </w:r>
          </w:p>
        </w:tc>
        <w:tc>
          <w:tcPr>
            <w:tcW w:w="1474" w:type="dxa"/>
            <w:vAlign w:val="center"/>
          </w:tcPr>
          <w:p>
            <w:pPr>
              <w:pStyle w:val="15"/>
            </w:pPr>
            <w:r>
              <w:t>20966224.56</w:t>
            </w:r>
          </w:p>
        </w:tc>
        <w:tc>
          <w:tcPr>
            <w:tcW w:w="1474" w:type="dxa"/>
            <w:vAlign w:val="center"/>
          </w:tcPr>
          <w:p>
            <w:pPr>
              <w:pStyle w:val="15"/>
            </w:pPr>
            <w:r>
              <w:t>11620000.00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20966224.56</w:t>
            </w:r>
          </w:p>
        </w:tc>
        <w:tc>
          <w:tcPr>
            <w:tcW w:w="2551" w:type="dxa"/>
            <w:vAlign w:val="center"/>
          </w:tcPr>
          <w:p>
            <w:pPr>
              <w:pStyle w:val="15"/>
            </w:pPr>
            <w:r>
              <w:t>18663024.56</w:t>
            </w:r>
          </w:p>
        </w:tc>
        <w:tc>
          <w:tcPr>
            <w:tcW w:w="2551" w:type="dxa"/>
            <w:vAlign w:val="center"/>
          </w:tcPr>
          <w:p>
            <w:pPr>
              <w:pStyle w:val="15"/>
            </w:pPr>
            <w:r>
              <w:t>2303200.00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20830224.56</w:t>
            </w:r>
          </w:p>
        </w:tc>
        <w:tc>
          <w:tcPr>
            <w:tcW w:w="2551" w:type="dxa"/>
            <w:vAlign w:val="center"/>
          </w:tcPr>
          <w:p>
            <w:pPr>
              <w:pStyle w:val="11"/>
            </w:pPr>
            <w:r>
              <w:t>18663024.56</w:t>
            </w:r>
          </w:p>
        </w:tc>
        <w:tc>
          <w:tcPr>
            <w:tcW w:w="2551" w:type="dxa"/>
            <w:vAlign w:val="center"/>
          </w:tcPr>
          <w:p>
            <w:pPr>
              <w:pStyle w:val="11"/>
            </w:pPr>
            <w:r>
              <w:t>2167200.00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20810224.56</w:t>
            </w:r>
          </w:p>
        </w:tc>
        <w:tc>
          <w:tcPr>
            <w:tcW w:w="2551" w:type="dxa"/>
            <w:vAlign w:val="center"/>
          </w:tcPr>
          <w:p>
            <w:pPr>
              <w:pStyle w:val="11"/>
            </w:pPr>
            <w:r>
              <w:t>18663024.56</w:t>
            </w:r>
          </w:p>
        </w:tc>
        <w:tc>
          <w:tcPr>
            <w:tcW w:w="2551" w:type="dxa"/>
            <w:vAlign w:val="center"/>
          </w:tcPr>
          <w:p>
            <w:pPr>
              <w:pStyle w:val="11"/>
            </w:pPr>
            <w:r>
              <w:t>2147200.00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20810224.56</w:t>
            </w:r>
          </w:p>
        </w:tc>
        <w:tc>
          <w:tcPr>
            <w:tcW w:w="2551" w:type="dxa"/>
            <w:vAlign w:val="center"/>
          </w:tcPr>
          <w:p>
            <w:pPr>
              <w:pStyle w:val="11"/>
            </w:pPr>
            <w:r>
              <w:t>18663024.56</w:t>
            </w:r>
          </w:p>
        </w:tc>
        <w:tc>
          <w:tcPr>
            <w:tcW w:w="2551" w:type="dxa"/>
            <w:vAlign w:val="center"/>
          </w:tcPr>
          <w:p>
            <w:pPr>
              <w:pStyle w:val="11"/>
            </w:pPr>
            <w:r>
              <w:t>2147200.00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116000.00</w:t>
            </w:r>
          </w:p>
        </w:tc>
        <w:tc>
          <w:tcPr>
            <w:tcW w:w="2551" w:type="dxa"/>
            <w:vAlign w:val="center"/>
          </w:tcPr>
          <w:p>
            <w:pPr>
              <w:pStyle w:val="11"/>
            </w:pPr>
          </w:p>
        </w:tc>
        <w:tc>
          <w:tcPr>
            <w:tcW w:w="2551" w:type="dxa"/>
            <w:vAlign w:val="center"/>
          </w:tcPr>
          <w:p>
            <w:pPr>
              <w:pStyle w:val="11"/>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116000.00</w:t>
            </w:r>
          </w:p>
        </w:tc>
        <w:tc>
          <w:tcPr>
            <w:tcW w:w="2551" w:type="dxa"/>
            <w:vAlign w:val="center"/>
          </w:tcPr>
          <w:p>
            <w:pPr>
              <w:pStyle w:val="11"/>
            </w:pPr>
          </w:p>
        </w:tc>
        <w:tc>
          <w:tcPr>
            <w:tcW w:w="2551" w:type="dxa"/>
            <w:vAlign w:val="center"/>
          </w:tcPr>
          <w:p>
            <w:pPr>
              <w:pStyle w:val="11"/>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116000.00</w:t>
            </w:r>
          </w:p>
        </w:tc>
        <w:tc>
          <w:tcPr>
            <w:tcW w:w="2551" w:type="dxa"/>
            <w:vAlign w:val="center"/>
          </w:tcPr>
          <w:p>
            <w:pPr>
              <w:pStyle w:val="11"/>
            </w:pPr>
          </w:p>
        </w:tc>
        <w:tc>
          <w:tcPr>
            <w:tcW w:w="2551" w:type="dxa"/>
            <w:vAlign w:val="center"/>
          </w:tcPr>
          <w:p>
            <w:pPr>
              <w:pStyle w:val="11"/>
            </w:pPr>
            <w:r>
              <w:t>116000.00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18663024.56</w:t>
            </w:r>
          </w:p>
        </w:tc>
        <w:tc>
          <w:tcPr>
            <w:tcW w:w="2551" w:type="dxa"/>
            <w:vAlign w:val="center"/>
          </w:tcPr>
          <w:p>
            <w:pPr>
              <w:pStyle w:val="15"/>
            </w:pPr>
            <w:r>
              <w:t>16930596.56</w:t>
            </w:r>
          </w:p>
        </w:tc>
        <w:tc>
          <w:tcPr>
            <w:tcW w:w="2551" w:type="dxa"/>
            <w:vAlign w:val="center"/>
          </w:tcPr>
          <w:p>
            <w:pPr>
              <w:pStyle w:val="15"/>
            </w:pPr>
            <w:r>
              <w:t>1732428.00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16196724.56</w:t>
            </w:r>
          </w:p>
        </w:tc>
        <w:tc>
          <w:tcPr>
            <w:tcW w:w="2551" w:type="dxa"/>
            <w:vAlign w:val="center"/>
          </w:tcPr>
          <w:p>
            <w:pPr>
              <w:pStyle w:val="11"/>
            </w:pPr>
            <w:r>
              <w:t>16196724.56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3583358.48</w:t>
            </w:r>
          </w:p>
        </w:tc>
        <w:tc>
          <w:tcPr>
            <w:tcW w:w="2551" w:type="dxa"/>
            <w:vAlign w:val="center"/>
          </w:tcPr>
          <w:p>
            <w:pPr>
              <w:pStyle w:val="11"/>
            </w:pPr>
            <w:r>
              <w:t>3583358.48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2392074.00</w:t>
            </w:r>
          </w:p>
        </w:tc>
        <w:tc>
          <w:tcPr>
            <w:tcW w:w="2551" w:type="dxa"/>
            <w:vAlign w:val="center"/>
          </w:tcPr>
          <w:p>
            <w:pPr>
              <w:pStyle w:val="11"/>
            </w:pPr>
            <w:r>
              <w:t>2392074.00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554001.00</w:t>
            </w:r>
          </w:p>
        </w:tc>
        <w:tc>
          <w:tcPr>
            <w:tcW w:w="2551" w:type="dxa"/>
            <w:vAlign w:val="center"/>
          </w:tcPr>
          <w:p>
            <w:pPr>
              <w:pStyle w:val="11"/>
            </w:pPr>
            <w:r>
              <w:t>554001.00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1826613.14</w:t>
            </w:r>
          </w:p>
        </w:tc>
        <w:tc>
          <w:tcPr>
            <w:tcW w:w="2551" w:type="dxa"/>
            <w:vAlign w:val="center"/>
          </w:tcPr>
          <w:p>
            <w:pPr>
              <w:pStyle w:val="11"/>
            </w:pPr>
            <w:r>
              <w:t>1826613.14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1106028.18</w:t>
            </w:r>
          </w:p>
        </w:tc>
        <w:tc>
          <w:tcPr>
            <w:tcW w:w="2551" w:type="dxa"/>
            <w:vAlign w:val="center"/>
          </w:tcPr>
          <w:p>
            <w:pPr>
              <w:pStyle w:val="11"/>
            </w:pPr>
            <w:r>
              <w:t>1106028.18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619430.02</w:t>
            </w:r>
          </w:p>
        </w:tc>
        <w:tc>
          <w:tcPr>
            <w:tcW w:w="2551" w:type="dxa"/>
            <w:vAlign w:val="center"/>
          </w:tcPr>
          <w:p>
            <w:pPr>
              <w:pStyle w:val="11"/>
            </w:pPr>
            <w:r>
              <w:t>619430.02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486189.45</w:t>
            </w:r>
          </w:p>
        </w:tc>
        <w:tc>
          <w:tcPr>
            <w:tcW w:w="2551" w:type="dxa"/>
            <w:vAlign w:val="center"/>
          </w:tcPr>
          <w:p>
            <w:pPr>
              <w:pStyle w:val="11"/>
            </w:pPr>
            <w:r>
              <w:t>486189.45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121547.36</w:t>
            </w:r>
          </w:p>
        </w:tc>
        <w:tc>
          <w:tcPr>
            <w:tcW w:w="2551" w:type="dxa"/>
            <w:vAlign w:val="center"/>
          </w:tcPr>
          <w:p>
            <w:pPr>
              <w:pStyle w:val="11"/>
            </w:pPr>
            <w:r>
              <w:t>121547.36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868514.42</w:t>
            </w:r>
          </w:p>
        </w:tc>
        <w:tc>
          <w:tcPr>
            <w:tcW w:w="2551" w:type="dxa"/>
            <w:vAlign w:val="center"/>
          </w:tcPr>
          <w:p>
            <w:pPr>
              <w:pStyle w:val="11"/>
            </w:pPr>
            <w:r>
              <w:t>868514.42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4638968.51</w:t>
            </w:r>
          </w:p>
        </w:tc>
        <w:tc>
          <w:tcPr>
            <w:tcW w:w="2551" w:type="dxa"/>
            <w:vAlign w:val="center"/>
          </w:tcPr>
          <w:p>
            <w:pPr>
              <w:pStyle w:val="11"/>
            </w:pPr>
            <w:r>
              <w:t>4638968.51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1732428.00</w:t>
            </w:r>
          </w:p>
        </w:tc>
        <w:tc>
          <w:tcPr>
            <w:tcW w:w="2551" w:type="dxa"/>
            <w:vAlign w:val="center"/>
          </w:tcPr>
          <w:p>
            <w:pPr>
              <w:pStyle w:val="11"/>
            </w:pPr>
          </w:p>
        </w:tc>
        <w:tc>
          <w:tcPr>
            <w:tcW w:w="2551" w:type="dxa"/>
            <w:vAlign w:val="center"/>
          </w:tcPr>
          <w:p>
            <w:pPr>
              <w:pStyle w:val="11"/>
            </w:pPr>
            <w:r>
              <w:t>1732428.00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200300.00</w:t>
            </w:r>
          </w:p>
        </w:tc>
        <w:tc>
          <w:tcPr>
            <w:tcW w:w="2551" w:type="dxa"/>
            <w:vAlign w:val="center"/>
          </w:tcPr>
          <w:p>
            <w:pPr>
              <w:pStyle w:val="11"/>
            </w:pPr>
          </w:p>
        </w:tc>
        <w:tc>
          <w:tcPr>
            <w:tcW w:w="2551" w:type="dxa"/>
            <w:vAlign w:val="center"/>
          </w:tcPr>
          <w:p>
            <w:pPr>
              <w:pStyle w:val="11"/>
            </w:pPr>
            <w:r>
              <w:t>200300.00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310000.00</w:t>
            </w:r>
          </w:p>
        </w:tc>
        <w:tc>
          <w:tcPr>
            <w:tcW w:w="2551" w:type="dxa"/>
            <w:vAlign w:val="center"/>
          </w:tcPr>
          <w:p>
            <w:pPr>
              <w:pStyle w:val="11"/>
            </w:pPr>
          </w:p>
        </w:tc>
        <w:tc>
          <w:tcPr>
            <w:tcW w:w="2551" w:type="dxa"/>
            <w:vAlign w:val="center"/>
          </w:tcPr>
          <w:p>
            <w:pPr>
              <w:pStyle w:val="11"/>
            </w:pPr>
            <w:r>
              <w:t>310000.00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42728.00</w:t>
            </w:r>
          </w:p>
        </w:tc>
        <w:tc>
          <w:tcPr>
            <w:tcW w:w="2551" w:type="dxa"/>
            <w:vAlign w:val="center"/>
          </w:tcPr>
          <w:p>
            <w:pPr>
              <w:pStyle w:val="11"/>
            </w:pPr>
          </w:p>
        </w:tc>
        <w:tc>
          <w:tcPr>
            <w:tcW w:w="2551" w:type="dxa"/>
            <w:vAlign w:val="center"/>
          </w:tcPr>
          <w:p>
            <w:pPr>
              <w:pStyle w:val="11"/>
            </w:pPr>
            <w:r>
              <w:t>42728.00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73600.00</w:t>
            </w:r>
          </w:p>
        </w:tc>
        <w:tc>
          <w:tcPr>
            <w:tcW w:w="2551" w:type="dxa"/>
            <w:vAlign w:val="center"/>
          </w:tcPr>
          <w:p>
            <w:pPr>
              <w:pStyle w:val="11"/>
            </w:pPr>
          </w:p>
        </w:tc>
        <w:tc>
          <w:tcPr>
            <w:tcW w:w="2551" w:type="dxa"/>
            <w:vAlign w:val="center"/>
          </w:tcPr>
          <w:p>
            <w:pPr>
              <w:pStyle w:val="11"/>
            </w:pPr>
            <w:r>
              <w:t>73600.00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92000.00</w:t>
            </w:r>
          </w:p>
        </w:tc>
        <w:tc>
          <w:tcPr>
            <w:tcW w:w="2551" w:type="dxa"/>
            <w:vAlign w:val="center"/>
          </w:tcPr>
          <w:p>
            <w:pPr>
              <w:pStyle w:val="11"/>
            </w:pPr>
          </w:p>
        </w:tc>
        <w:tc>
          <w:tcPr>
            <w:tcW w:w="2551" w:type="dxa"/>
            <w:vAlign w:val="center"/>
          </w:tcPr>
          <w:p>
            <w:pPr>
              <w:pStyle w:val="11"/>
            </w:pPr>
            <w:r>
              <w:t>92000.00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397800.00</w:t>
            </w:r>
          </w:p>
        </w:tc>
        <w:tc>
          <w:tcPr>
            <w:tcW w:w="2551" w:type="dxa"/>
            <w:vAlign w:val="center"/>
          </w:tcPr>
          <w:p>
            <w:pPr>
              <w:pStyle w:val="11"/>
            </w:pPr>
          </w:p>
        </w:tc>
        <w:tc>
          <w:tcPr>
            <w:tcW w:w="2551" w:type="dxa"/>
            <w:vAlign w:val="center"/>
          </w:tcPr>
          <w:p>
            <w:pPr>
              <w:pStyle w:val="11"/>
            </w:pPr>
            <w:r>
              <w:t>397800.00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319000.00</w:t>
            </w:r>
          </w:p>
        </w:tc>
        <w:tc>
          <w:tcPr>
            <w:tcW w:w="2551" w:type="dxa"/>
            <w:vAlign w:val="center"/>
          </w:tcPr>
          <w:p>
            <w:pPr>
              <w:pStyle w:val="11"/>
            </w:pPr>
          </w:p>
        </w:tc>
        <w:tc>
          <w:tcPr>
            <w:tcW w:w="2551" w:type="dxa"/>
            <w:vAlign w:val="center"/>
          </w:tcPr>
          <w:p>
            <w:pPr>
              <w:pStyle w:val="11"/>
            </w:pPr>
            <w:r>
              <w:t>319000.00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733872.00</w:t>
            </w:r>
          </w:p>
        </w:tc>
        <w:tc>
          <w:tcPr>
            <w:tcW w:w="2551" w:type="dxa"/>
            <w:vAlign w:val="center"/>
          </w:tcPr>
          <w:p>
            <w:pPr>
              <w:pStyle w:val="11"/>
            </w:pPr>
            <w:r>
              <w:t>733872.00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155031.00</w:t>
            </w:r>
          </w:p>
        </w:tc>
        <w:tc>
          <w:tcPr>
            <w:tcW w:w="2551" w:type="dxa"/>
            <w:vAlign w:val="center"/>
          </w:tcPr>
          <w:p>
            <w:pPr>
              <w:pStyle w:val="11"/>
            </w:pPr>
            <w:r>
              <w:t>155031.00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449661.00</w:t>
            </w:r>
          </w:p>
        </w:tc>
        <w:tc>
          <w:tcPr>
            <w:tcW w:w="2551" w:type="dxa"/>
            <w:vAlign w:val="center"/>
          </w:tcPr>
          <w:p>
            <w:pPr>
              <w:pStyle w:val="11"/>
            </w:pPr>
            <w:r>
              <w:t>449661.00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128700.00</w:t>
            </w:r>
          </w:p>
        </w:tc>
        <w:tc>
          <w:tcPr>
            <w:tcW w:w="2551" w:type="dxa"/>
            <w:vAlign w:val="center"/>
          </w:tcPr>
          <w:p>
            <w:pPr>
              <w:pStyle w:val="11"/>
            </w:pPr>
            <w:r>
              <w:t>128700.00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480.00</w:t>
            </w:r>
          </w:p>
        </w:tc>
        <w:tc>
          <w:tcPr>
            <w:tcW w:w="2551" w:type="dxa"/>
            <w:vAlign w:val="center"/>
          </w:tcPr>
          <w:p>
            <w:pPr>
              <w:pStyle w:val="11"/>
            </w:pPr>
            <w:r>
              <w:t>480.00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11620000.00</w:t>
            </w:r>
          </w:p>
        </w:tc>
        <w:tc>
          <w:tcPr>
            <w:tcW w:w="2551" w:type="dxa"/>
            <w:vAlign w:val="center"/>
          </w:tcPr>
          <w:p>
            <w:pPr>
              <w:pStyle w:val="15"/>
            </w:pPr>
          </w:p>
        </w:tc>
        <w:tc>
          <w:tcPr>
            <w:tcW w:w="2551" w:type="dxa"/>
            <w:vAlign w:val="center"/>
          </w:tcPr>
          <w:p>
            <w:pPr>
              <w:pStyle w:val="15"/>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11620000.00</w:t>
            </w:r>
          </w:p>
        </w:tc>
        <w:tc>
          <w:tcPr>
            <w:tcW w:w="2551" w:type="dxa"/>
            <w:vAlign w:val="center"/>
          </w:tcPr>
          <w:p>
            <w:pPr>
              <w:pStyle w:val="11"/>
            </w:pPr>
          </w:p>
        </w:tc>
        <w:tc>
          <w:tcPr>
            <w:tcW w:w="2551" w:type="dxa"/>
            <w:vAlign w:val="center"/>
          </w:tcPr>
          <w:p>
            <w:pPr>
              <w:pStyle w:val="11"/>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11620000.00</w:t>
            </w:r>
          </w:p>
        </w:tc>
        <w:tc>
          <w:tcPr>
            <w:tcW w:w="2551" w:type="dxa"/>
            <w:vAlign w:val="center"/>
          </w:tcPr>
          <w:p>
            <w:pPr>
              <w:pStyle w:val="11"/>
            </w:pPr>
          </w:p>
        </w:tc>
        <w:tc>
          <w:tcPr>
            <w:tcW w:w="2551" w:type="dxa"/>
            <w:vAlign w:val="center"/>
          </w:tcPr>
          <w:p>
            <w:pPr>
              <w:pStyle w:val="11"/>
            </w:pPr>
            <w:r>
              <w:t>11620000.00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11620000.00</w:t>
            </w:r>
          </w:p>
        </w:tc>
        <w:tc>
          <w:tcPr>
            <w:tcW w:w="2551" w:type="dxa"/>
            <w:vAlign w:val="center"/>
          </w:tcPr>
          <w:p>
            <w:pPr>
              <w:pStyle w:val="11"/>
            </w:pPr>
          </w:p>
        </w:tc>
        <w:tc>
          <w:tcPr>
            <w:tcW w:w="2551" w:type="dxa"/>
            <w:vAlign w:val="center"/>
          </w:tcPr>
          <w:p>
            <w:pPr>
              <w:pStyle w:val="11"/>
            </w:pPr>
            <w:r>
              <w:t>11620000.00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6</w:t>
            </w:r>
            <w:r>
              <w:t>6000.00</w:t>
            </w:r>
          </w:p>
        </w:tc>
        <w:tc>
          <w:tcPr>
            <w:tcW w:w="2381" w:type="dxa"/>
            <w:vAlign w:val="center"/>
          </w:tcPr>
          <w:p>
            <w:pPr>
              <w:pStyle w:val="15"/>
            </w:pPr>
            <w:r>
              <w:rPr>
                <w:rFonts w:hint="eastAsia"/>
                <w:lang w:val="en-US" w:eastAsia="zh-CN"/>
              </w:rPr>
              <w:t>6</w:t>
            </w:r>
            <w:bookmarkStart w:id="1" w:name="_GoBack"/>
            <w:bookmarkEnd w:id="1"/>
            <w:r>
              <w:t>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6</w:t>
            </w:r>
            <w:r>
              <w:t>6000.00</w:t>
            </w:r>
          </w:p>
        </w:tc>
        <w:tc>
          <w:tcPr>
            <w:tcW w:w="2381" w:type="dxa"/>
            <w:vAlign w:val="center"/>
          </w:tcPr>
          <w:p>
            <w:pPr>
              <w:pStyle w:val="11"/>
            </w:pPr>
            <w:r>
              <w:rPr>
                <w:rFonts w:hint="eastAsia"/>
                <w:lang w:val="en-US" w:eastAsia="zh-CN"/>
              </w:rPr>
              <w:t>6</w:t>
            </w:r>
            <w:r>
              <w:t>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玉田县鸦鸿桥镇人民政府本级2025年单位预算信息公开情况说明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按照《中华人民共和国预算法》、《地方预决算公开操作规程》和《关于进一步推进预算公开工作的实施意见》规定，现将玉田县鸦鸿桥镇人民政府本级2025年单位预算公开如下：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玉田县鸦鸿桥镇人民政府主要有以下六项部门职责：党政综合、经济发展、社会事务、社会治安综合治理、计划生育和城镇规划建设。</w:t>
      </w:r>
    </w:p>
    <w:p>
      <w:pPr>
        <w:pStyle w:val="17"/>
      </w:pPr>
      <w:r>
        <w:t>一、党政综合主要负责综合协调、信息反馈、档案管理和机关事务工作；基层党组织建设、党员电化教育管理、机构编制、人事劳资、老干部、干部考核、人大、宣传、统战、纪检、工会、共青团、妇联、武装等工作。</w:t>
      </w:r>
    </w:p>
    <w:p>
      <w:pPr>
        <w:pStyle w:val="17"/>
      </w:pPr>
      <w:r>
        <w:t>二、经济发展主要负责企业管理、工业、农业、水利、畜牧、林业、第三产业发展规划、招商引资、内外贸易、个体私营经济、国有资产管理等工作；负责协调商品市场流通与经济指标分析工作。负责监督和管理本镇安全生产工作。</w:t>
      </w:r>
    </w:p>
    <w:p>
      <w:pPr>
        <w:pStyle w:val="17"/>
      </w:pPr>
      <w:r>
        <w:t>三、社会事务主要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p>
    <w:p>
      <w:pPr>
        <w:pStyle w:val="17"/>
      </w:pPr>
      <w:r>
        <w:t>四、社会治安综合治理主要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p>
    <w:p>
      <w:pPr>
        <w:pStyle w:val="17"/>
      </w:pPr>
      <w:r>
        <w:t>五、计划生育主要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p>
    <w:p>
      <w:pPr>
        <w:pStyle w:val="17"/>
      </w:pPr>
      <w:r>
        <w:t xml:space="preserve">六、城镇规划建设主要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玉田县鸦鸿桥镇人民政府本级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32586224.56元，其中：一般公共预算收入20966224.56元，基金预算收入11620000.00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鸦鸿桥镇人民政府本级年度单位预算中支出预算的总体情况。2025年支出预算32586224.56元，其中基本支出18663024.56元，包括人员经费16930596.56元和日常公用经费1732428.00元；项目支出13923200.00元，主要为安保、环保、安全生产、应急、食药监管2</w:t>
      </w:r>
      <w:r>
        <w:rPr>
          <w:rFonts w:hint="eastAsia"/>
          <w:lang w:val="en-US" w:eastAsia="zh-CN"/>
        </w:rPr>
        <w:t>0000.00</w:t>
      </w:r>
      <w:r>
        <w:t>元；土地租金10972</w:t>
      </w:r>
      <w:r>
        <w:rPr>
          <w:rFonts w:hint="eastAsia"/>
          <w:lang w:val="en-US" w:eastAsia="zh-CN"/>
        </w:rPr>
        <w:t>00.00</w:t>
      </w:r>
      <w:r>
        <w:t>万元；污水处理费用1162</w:t>
      </w:r>
      <w:r>
        <w:rPr>
          <w:rFonts w:hint="eastAsia"/>
          <w:lang w:val="en-US" w:eastAsia="zh-CN"/>
        </w:rPr>
        <w:t>0000.00</w:t>
      </w:r>
      <w:r>
        <w:t>元；河渠清理及河长制2</w:t>
      </w:r>
      <w:r>
        <w:rPr>
          <w:rFonts w:hint="eastAsia"/>
          <w:lang w:val="en-US" w:eastAsia="zh-CN"/>
        </w:rPr>
        <w:t>0000.00</w:t>
      </w:r>
      <w:r>
        <w:t>元；人武、党团妇建设、纪检、宣传经费3</w:t>
      </w:r>
      <w:r>
        <w:rPr>
          <w:rFonts w:hint="eastAsia"/>
          <w:lang w:val="en-US" w:eastAsia="zh-CN"/>
        </w:rPr>
        <w:t>0000.00</w:t>
      </w:r>
      <w:r>
        <w:t>元；残疾人保障金116</w:t>
      </w:r>
      <w:r>
        <w:rPr>
          <w:rFonts w:hint="eastAsia"/>
          <w:lang w:val="en-US" w:eastAsia="zh-CN"/>
        </w:rPr>
        <w:t>000</w:t>
      </w:r>
      <w:r>
        <w:t>元；乡镇人大工作站经费2</w:t>
      </w:r>
      <w:r>
        <w:rPr>
          <w:rFonts w:hint="eastAsia"/>
          <w:lang w:val="en-US" w:eastAsia="zh-CN"/>
        </w:rPr>
        <w:t>0000.00</w:t>
      </w:r>
      <w:r>
        <w:t>元和综合执法队费用100</w:t>
      </w:r>
      <w:r>
        <w:rPr>
          <w:rFonts w:hint="eastAsia"/>
          <w:lang w:val="en-US" w:eastAsia="zh-CN"/>
        </w:rPr>
        <w:t>0000.00</w:t>
      </w:r>
      <w:r>
        <w:t>元</w:t>
      </w:r>
    </w:p>
    <w:p>
      <w:pPr>
        <w:pStyle w:val="18"/>
      </w:pPr>
      <w:r>
        <w:t>3、比上年增减情况</w:t>
      </w:r>
    </w:p>
    <w:p>
      <w:pPr>
        <w:pStyle w:val="18"/>
      </w:pPr>
      <w:r>
        <w:t>2025年预算收支安排32586224.56元，较2024年预算增加2073461.53元，其中：基本支出增加752261.53元，主要为人员经费一10816679</w:t>
      </w:r>
      <w:r>
        <w:rPr>
          <w:rFonts w:hint="eastAsia"/>
          <w:lang w:val="en-US" w:eastAsia="zh-CN"/>
        </w:rPr>
        <w:t>.</w:t>
      </w:r>
      <w:r>
        <w:t>22元；人员项目（其他）3710209</w:t>
      </w:r>
      <w:r>
        <w:rPr>
          <w:rFonts w:hint="eastAsia"/>
          <w:lang w:val="en-US" w:eastAsia="zh-CN"/>
        </w:rPr>
        <w:t>.</w:t>
      </w:r>
      <w:r>
        <w:t>23</w:t>
      </w:r>
      <w:r>
        <w:rPr>
          <w:rFonts w:hint="eastAsia"/>
          <w:lang w:eastAsia="zh-CN"/>
        </w:rPr>
        <w:t>元</w:t>
      </w:r>
      <w:r>
        <w:t>；人员项目（长聘）4651843</w:t>
      </w:r>
      <w:r>
        <w:rPr>
          <w:rFonts w:hint="eastAsia"/>
          <w:lang w:val="en-US" w:eastAsia="zh-CN"/>
        </w:rPr>
        <w:t>.00</w:t>
      </w:r>
      <w:r>
        <w:t>元；公用经费一1120028</w:t>
      </w:r>
      <w:r>
        <w:rPr>
          <w:rFonts w:hint="eastAsia"/>
          <w:lang w:val="en-US" w:eastAsia="zh-CN"/>
        </w:rPr>
        <w:t>.00</w:t>
      </w:r>
      <w:r>
        <w:t>元；公用经费（非三保）6124</w:t>
      </w:r>
      <w:r>
        <w:rPr>
          <w:rFonts w:hint="eastAsia"/>
          <w:lang w:val="en-US" w:eastAsia="zh-CN"/>
        </w:rPr>
        <w:t>00.00</w:t>
      </w:r>
      <w:r>
        <w:t>元</w:t>
      </w:r>
      <w:r>
        <w:rPr>
          <w:rFonts w:hint="eastAsia"/>
          <w:lang w:val="en-US" w:eastAsia="zh-CN"/>
        </w:rPr>
        <w:t>;</w:t>
      </w:r>
      <w:r>
        <w:t>项目支出增加1321200.00元，主要为土地租金10972</w:t>
      </w:r>
      <w:r>
        <w:rPr>
          <w:rFonts w:hint="eastAsia"/>
          <w:lang w:val="en-US" w:eastAsia="zh-CN"/>
        </w:rPr>
        <w:t>00.00</w:t>
      </w:r>
      <w:r>
        <w:t>元；污水处理费用1162</w:t>
      </w:r>
      <w:r>
        <w:rPr>
          <w:rFonts w:hint="eastAsia"/>
          <w:lang w:val="en-US" w:eastAsia="zh-CN"/>
        </w:rPr>
        <w:t>0000.00</w:t>
      </w:r>
      <w:r>
        <w:t>元；残疾人保障金116</w:t>
      </w:r>
      <w:r>
        <w:rPr>
          <w:rFonts w:hint="eastAsia"/>
          <w:lang w:val="en-US" w:eastAsia="zh-CN"/>
        </w:rPr>
        <w:t>000.00</w:t>
      </w:r>
      <w:r>
        <w:t>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2025年，我单位机关运行经费共计安排1732428.00元，主要用于日常维修、办公用房水电费、办公用房取暖费、办公用房物业管理费等日常运行支出。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6600</w:t>
      </w:r>
      <w:r>
        <w:t>0.00元，其中因公出国（境）费0.00元；公务用车购置及运维费</w:t>
      </w:r>
      <w:r>
        <w:rPr>
          <w:rFonts w:hint="eastAsia"/>
          <w:lang w:val="en-US" w:eastAsia="zh-CN"/>
        </w:rPr>
        <w:t>4600</w:t>
      </w:r>
      <w:r>
        <w:t>0.00元（其中：公务用车购置费为0.00元，公务用车运维费</w:t>
      </w:r>
      <w:r>
        <w:rPr>
          <w:rFonts w:hint="eastAsia"/>
          <w:lang w:val="en-US" w:eastAsia="zh-CN"/>
        </w:rPr>
        <w:t>4600</w:t>
      </w:r>
      <w:r>
        <w:t>0.00元)；公务接待费</w:t>
      </w:r>
      <w:r>
        <w:rPr>
          <w:rFonts w:hint="eastAsia"/>
          <w:lang w:val="en-US" w:eastAsia="zh-CN"/>
        </w:rPr>
        <w:t>2000</w:t>
      </w:r>
      <w:r>
        <w:t>0.00元。与2024年相比增加0.00元，增减变化的主要原因是与上年相比</w:t>
      </w:r>
      <w:r>
        <w:rPr>
          <w:rFonts w:hint="eastAsia"/>
          <w:lang w:eastAsia="zh-CN"/>
        </w:rPr>
        <w:t>持平</w:t>
      </w:r>
      <w:r>
        <w:t>。具体情况如下：</w:t>
      </w:r>
    </w:p>
    <w:p>
      <w:pPr>
        <w:pStyle w:val="20"/>
      </w:pPr>
      <w:r>
        <w:t>（一）公务用车购置及运行费。共计安排</w:t>
      </w:r>
      <w:r>
        <w:rPr>
          <w:rFonts w:hint="eastAsia"/>
          <w:lang w:val="en-US" w:eastAsia="zh-CN"/>
        </w:rPr>
        <w:t>46000.00</w:t>
      </w:r>
      <w:r>
        <w:t>元，与上年预算持平。</w:t>
      </w:r>
    </w:p>
    <w:p>
      <w:pPr>
        <w:pStyle w:val="20"/>
      </w:pPr>
      <w:r>
        <w:t>1、公务用车购置安排0</w:t>
      </w:r>
      <w:r>
        <w:rPr>
          <w:rFonts w:hint="eastAsia"/>
          <w:lang w:val="en-US" w:eastAsia="zh-CN"/>
        </w:rPr>
        <w:t>.00</w:t>
      </w:r>
      <w:r>
        <w:t>元。与上年预算持平，原因为无公务用车购置计划。</w:t>
      </w:r>
    </w:p>
    <w:p>
      <w:pPr>
        <w:pStyle w:val="20"/>
      </w:pPr>
      <w:r>
        <w:t>2、公务用车运行维护费安排4</w:t>
      </w:r>
      <w:r>
        <w:rPr>
          <w:rFonts w:hint="eastAsia"/>
          <w:lang w:val="en-US" w:eastAsia="zh-CN"/>
        </w:rPr>
        <w:t>6000.00</w:t>
      </w:r>
      <w:r>
        <w:t>元。与上年预算持平。</w:t>
      </w:r>
    </w:p>
    <w:p>
      <w:pPr>
        <w:pStyle w:val="20"/>
      </w:pPr>
      <w:r>
        <w:t>（二）公务接待费。安排</w:t>
      </w:r>
      <w:r>
        <w:rPr>
          <w:rFonts w:hint="eastAsia"/>
          <w:lang w:val="en-US" w:eastAsia="zh-CN"/>
        </w:rPr>
        <w:t>20000.00</w:t>
      </w:r>
      <w:r>
        <w:t>元，落实过紧日子要求，与上年预算相比</w:t>
      </w:r>
      <w:r>
        <w:rPr>
          <w:rFonts w:hint="eastAsia"/>
          <w:lang w:eastAsia="zh-CN"/>
        </w:rPr>
        <w:t>持平</w:t>
      </w:r>
      <w:r>
        <w:t>。</w:t>
      </w:r>
    </w:p>
    <w:p>
      <w:pPr>
        <w:pStyle w:val="20"/>
      </w:pPr>
      <w:r>
        <w:t>（三）因公出国（境）费。安排0</w:t>
      </w:r>
      <w:r>
        <w:rPr>
          <w:rFonts w:hint="eastAsia"/>
          <w:lang w:val="en-US" w:eastAsia="zh-CN"/>
        </w:rPr>
        <w:t>.00</w:t>
      </w:r>
      <w:r>
        <w:t>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1、综合执法队费用绩效目标表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13022925P004R2810695X</w:t>
            </w:r>
          </w:p>
        </w:tc>
        <w:tc>
          <w:tcPr>
            <w:tcW w:w="2835" w:type="dxa"/>
            <w:vAlign w:val="center"/>
          </w:tcPr>
          <w:p>
            <w:pPr>
              <w:pStyle w:val="10"/>
            </w:pPr>
            <w:r>
              <w:t>项目名称</w:t>
            </w:r>
          </w:p>
        </w:tc>
        <w:tc>
          <w:tcPr>
            <w:tcW w:w="6095" w:type="dxa"/>
            <w:gridSpan w:val="3"/>
            <w:vAlign w:val="center"/>
          </w:tcPr>
          <w:p>
            <w:pPr>
              <w:pStyle w:val="12"/>
            </w:pPr>
            <w:r>
              <w:t>综合执法队费用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用于支付执法队工资保险等费用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1.用于支付执法队工资保险等费用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综合执法队人数</w:t>
            </w:r>
          </w:p>
        </w:tc>
        <w:tc>
          <w:tcPr>
            <w:tcW w:w="5386" w:type="dxa"/>
            <w:vAlign w:val="center"/>
          </w:tcPr>
          <w:p>
            <w:pPr>
              <w:pStyle w:val="12"/>
            </w:pPr>
            <w:r>
              <w:t>综合执法队人数</w:t>
            </w:r>
          </w:p>
        </w:tc>
        <w:tc>
          <w:tcPr>
            <w:tcW w:w="2268" w:type="dxa"/>
            <w:vAlign w:val="center"/>
          </w:tcPr>
          <w:p>
            <w:pPr>
              <w:pStyle w:val="12"/>
            </w:pPr>
            <w:r>
              <w:t>43人</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≥99%</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≤1年</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100万</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≥90%</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保障职工合法权益</w:t>
            </w:r>
          </w:p>
        </w:tc>
        <w:tc>
          <w:tcPr>
            <w:tcW w:w="5386" w:type="dxa"/>
            <w:vAlign w:val="center"/>
          </w:tcPr>
          <w:p>
            <w:pPr>
              <w:pStyle w:val="12"/>
            </w:pPr>
            <w:r>
              <w:t>保障职工合法权益</w:t>
            </w:r>
          </w:p>
        </w:tc>
        <w:tc>
          <w:tcPr>
            <w:tcW w:w="2268" w:type="dxa"/>
            <w:vAlign w:val="center"/>
          </w:tcPr>
          <w:p>
            <w:pPr>
              <w:pStyle w:val="12"/>
            </w:pPr>
            <w:r>
              <w:t>保障职工合法权益</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提升各部门工作能力</w:t>
            </w:r>
          </w:p>
        </w:tc>
        <w:tc>
          <w:tcPr>
            <w:tcW w:w="5386" w:type="dxa"/>
            <w:vAlign w:val="center"/>
          </w:tcPr>
          <w:p>
            <w:pPr>
              <w:pStyle w:val="12"/>
            </w:pPr>
            <w:r>
              <w:t>提升各部门工作能力</w:t>
            </w:r>
          </w:p>
        </w:tc>
        <w:tc>
          <w:tcPr>
            <w:tcW w:w="2268" w:type="dxa"/>
            <w:vAlign w:val="center"/>
          </w:tcPr>
          <w:p>
            <w:pPr>
              <w:pStyle w:val="12"/>
            </w:pPr>
            <w:r>
              <w:t>提升各部门工作能力</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维护社会稳定</w:t>
            </w:r>
          </w:p>
        </w:tc>
        <w:tc>
          <w:tcPr>
            <w:tcW w:w="1276" w:type="dxa"/>
            <w:vAlign w:val="center"/>
          </w:tcPr>
          <w:p>
            <w:pPr>
              <w:pStyle w:val="12"/>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2025年预算安排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13022925P00JXC410256H</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用于安保、环保、安全生产、食药监管等支出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1.用于安保、环保、安全生产、食药监管等支出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每人金额</w:t>
            </w:r>
          </w:p>
        </w:tc>
        <w:tc>
          <w:tcPr>
            <w:tcW w:w="5386" w:type="dxa"/>
            <w:vAlign w:val="center"/>
          </w:tcPr>
          <w:p>
            <w:pPr>
              <w:pStyle w:val="12"/>
            </w:pPr>
            <w:r>
              <w:t>每人金额</w:t>
            </w:r>
          </w:p>
        </w:tc>
        <w:tc>
          <w:tcPr>
            <w:tcW w:w="2268" w:type="dxa"/>
            <w:vAlign w:val="center"/>
          </w:tcPr>
          <w:p>
            <w:pPr>
              <w:pStyle w:val="12"/>
            </w:pPr>
            <w:r>
              <w:t>2元</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是否达标</w:t>
            </w:r>
          </w:p>
        </w:tc>
        <w:tc>
          <w:tcPr>
            <w:tcW w:w="2268" w:type="dxa"/>
            <w:vAlign w:val="center"/>
          </w:tcPr>
          <w:p>
            <w:pPr>
              <w:pStyle w:val="12"/>
            </w:pPr>
            <w:r>
              <w:t>达标完成</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≤1年</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促进乡镇企业安全生产</w:t>
            </w:r>
          </w:p>
        </w:tc>
        <w:tc>
          <w:tcPr>
            <w:tcW w:w="5386" w:type="dxa"/>
            <w:vAlign w:val="center"/>
          </w:tcPr>
          <w:p>
            <w:pPr>
              <w:pStyle w:val="12"/>
            </w:pPr>
            <w:r>
              <w:t>促进乡镇企业安全生产</w:t>
            </w:r>
          </w:p>
        </w:tc>
        <w:tc>
          <w:tcPr>
            <w:tcW w:w="2268" w:type="dxa"/>
            <w:vAlign w:val="center"/>
          </w:tcPr>
          <w:p>
            <w:pPr>
              <w:pStyle w:val="12"/>
            </w:pPr>
            <w:r>
              <w:t>促进乡镇企业安全生产</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维护社会治安</w:t>
            </w:r>
          </w:p>
        </w:tc>
        <w:tc>
          <w:tcPr>
            <w:tcW w:w="5386" w:type="dxa"/>
            <w:vAlign w:val="center"/>
          </w:tcPr>
          <w:p>
            <w:pPr>
              <w:pStyle w:val="12"/>
            </w:pPr>
            <w:r>
              <w:t>维护社会治安</w:t>
            </w:r>
          </w:p>
        </w:tc>
        <w:tc>
          <w:tcPr>
            <w:tcW w:w="2268" w:type="dxa"/>
            <w:vAlign w:val="center"/>
          </w:tcPr>
          <w:p>
            <w:pPr>
              <w:pStyle w:val="12"/>
            </w:pPr>
            <w:r>
              <w:t>维护社会治安</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节能环保减排</w:t>
            </w:r>
          </w:p>
        </w:tc>
        <w:tc>
          <w:tcPr>
            <w:tcW w:w="5386" w:type="dxa"/>
            <w:vAlign w:val="center"/>
          </w:tcPr>
          <w:p>
            <w:pPr>
              <w:pStyle w:val="12"/>
            </w:pPr>
            <w:r>
              <w:t>加强管理企业对污水废气的达标排放</w:t>
            </w:r>
          </w:p>
        </w:tc>
        <w:tc>
          <w:tcPr>
            <w:tcW w:w="2268" w:type="dxa"/>
            <w:vAlign w:val="center"/>
          </w:tcPr>
          <w:p>
            <w:pPr>
              <w:pStyle w:val="12"/>
            </w:pPr>
            <w:r>
              <w:t>加强管理企业对污水废气的达标排放</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规范行业</w:t>
            </w:r>
          </w:p>
        </w:tc>
        <w:tc>
          <w:tcPr>
            <w:tcW w:w="5386" w:type="dxa"/>
            <w:vAlign w:val="center"/>
          </w:tcPr>
          <w:p>
            <w:pPr>
              <w:pStyle w:val="12"/>
            </w:pPr>
            <w:r>
              <w:t>规范行业</w:t>
            </w:r>
          </w:p>
        </w:tc>
        <w:tc>
          <w:tcPr>
            <w:tcW w:w="2268" w:type="dxa"/>
            <w:vAlign w:val="center"/>
          </w:tcPr>
          <w:p>
            <w:pPr>
              <w:pStyle w:val="12"/>
            </w:pPr>
            <w:r>
              <w:t>规范行业</w:t>
            </w:r>
          </w:p>
        </w:tc>
        <w:tc>
          <w:tcPr>
            <w:tcW w:w="1276" w:type="dxa"/>
            <w:vAlign w:val="center"/>
          </w:tcPr>
          <w:p>
            <w:pPr>
              <w:pStyle w:val="12"/>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w:t>
            </w:r>
          </w:p>
        </w:tc>
        <w:tc>
          <w:tcPr>
            <w:tcW w:w="1276" w:type="dxa"/>
            <w:vAlign w:val="center"/>
          </w:tcPr>
          <w:p>
            <w:pPr>
              <w:pStyle w:val="12"/>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13022925P00JXC4197022</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116000.00</w:t>
            </w:r>
          </w:p>
        </w:tc>
        <w:tc>
          <w:tcPr>
            <w:tcW w:w="2835" w:type="dxa"/>
            <w:vAlign w:val="center"/>
          </w:tcPr>
          <w:p>
            <w:pPr>
              <w:pStyle w:val="10"/>
            </w:pPr>
            <w:r>
              <w:t>其中：财政    资金</w:t>
            </w:r>
          </w:p>
        </w:tc>
        <w:tc>
          <w:tcPr>
            <w:tcW w:w="2551" w:type="dxa"/>
            <w:vAlign w:val="center"/>
          </w:tcPr>
          <w:p>
            <w:pPr>
              <w:pStyle w:val="12"/>
            </w:pPr>
            <w:r>
              <w:t>116000.00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确保残疾人保障金2025年按时发放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1.确保残疾人保障金2025年按时发放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职工人数</w:t>
            </w:r>
          </w:p>
        </w:tc>
        <w:tc>
          <w:tcPr>
            <w:tcW w:w="5386" w:type="dxa"/>
            <w:vAlign w:val="center"/>
          </w:tcPr>
          <w:p>
            <w:pPr>
              <w:pStyle w:val="12"/>
            </w:pPr>
            <w:r>
              <w:t>职工人数</w:t>
            </w:r>
          </w:p>
        </w:tc>
        <w:tc>
          <w:tcPr>
            <w:tcW w:w="2268" w:type="dxa"/>
            <w:vAlign w:val="center"/>
          </w:tcPr>
          <w:p>
            <w:pPr>
              <w:pStyle w:val="12"/>
            </w:pPr>
            <w:r>
              <w:t>84人</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保证工作正常开展</w:t>
            </w:r>
          </w:p>
        </w:tc>
        <w:tc>
          <w:tcPr>
            <w:tcW w:w="5386" w:type="dxa"/>
            <w:vAlign w:val="center"/>
          </w:tcPr>
          <w:p>
            <w:pPr>
              <w:pStyle w:val="12"/>
            </w:pPr>
            <w:r>
              <w:t>保证工作正常开展</w:t>
            </w:r>
          </w:p>
        </w:tc>
        <w:tc>
          <w:tcPr>
            <w:tcW w:w="2268" w:type="dxa"/>
            <w:vAlign w:val="center"/>
          </w:tcPr>
          <w:p>
            <w:pPr>
              <w:pStyle w:val="12"/>
            </w:pPr>
            <w:r>
              <w:t>保证工作正常开展</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≤1年</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116000元</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促进区域经济社会发展情况</w:t>
            </w:r>
          </w:p>
        </w:tc>
        <w:tc>
          <w:tcPr>
            <w:tcW w:w="2268" w:type="dxa"/>
            <w:vAlign w:val="center"/>
          </w:tcPr>
          <w:p>
            <w:pPr>
              <w:pStyle w:val="12"/>
            </w:pPr>
            <w:r>
              <w:t>促进区域经济社会发展情况</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促进社会和谐稳定</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残疾人就业人数</w:t>
            </w:r>
          </w:p>
        </w:tc>
        <w:tc>
          <w:tcPr>
            <w:tcW w:w="5386" w:type="dxa"/>
            <w:vAlign w:val="center"/>
          </w:tcPr>
          <w:p>
            <w:pPr>
              <w:pStyle w:val="12"/>
            </w:pPr>
            <w:r>
              <w:t>残疾人就业人数</w:t>
            </w:r>
          </w:p>
        </w:tc>
        <w:tc>
          <w:tcPr>
            <w:tcW w:w="2268" w:type="dxa"/>
            <w:vAlign w:val="center"/>
          </w:tcPr>
          <w:p>
            <w:pPr>
              <w:pStyle w:val="12"/>
            </w:pPr>
            <w:r>
              <w:t>增加残疾人就业人数</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提高残疾人幸福指数</w:t>
            </w:r>
          </w:p>
        </w:tc>
        <w:tc>
          <w:tcPr>
            <w:tcW w:w="5386" w:type="dxa"/>
            <w:vAlign w:val="center"/>
          </w:tcPr>
          <w:p>
            <w:pPr>
              <w:pStyle w:val="12"/>
            </w:pPr>
            <w:r>
              <w:t>提高残疾人幸福指数</w:t>
            </w:r>
          </w:p>
        </w:tc>
        <w:tc>
          <w:tcPr>
            <w:tcW w:w="2268" w:type="dxa"/>
            <w:vAlign w:val="center"/>
          </w:tcPr>
          <w:p>
            <w:pPr>
              <w:pStyle w:val="12"/>
            </w:pPr>
            <w:r>
              <w:t>提高残疾人幸福指数</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≥90%</w:t>
            </w:r>
          </w:p>
        </w:tc>
        <w:tc>
          <w:tcPr>
            <w:tcW w:w="1276" w:type="dxa"/>
            <w:vAlign w:val="center"/>
          </w:tcPr>
          <w:p>
            <w:pPr>
              <w:pStyle w:val="12"/>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13022925P000164100255</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用于2025年河渠清理支出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1.用于2025年河渠清理支出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河渠清理</w:t>
            </w:r>
          </w:p>
        </w:tc>
        <w:tc>
          <w:tcPr>
            <w:tcW w:w="5386" w:type="dxa"/>
            <w:vAlign w:val="center"/>
          </w:tcPr>
          <w:p>
            <w:pPr>
              <w:pStyle w:val="12"/>
            </w:pPr>
            <w:r>
              <w:t>河渠清理</w:t>
            </w:r>
          </w:p>
        </w:tc>
        <w:tc>
          <w:tcPr>
            <w:tcW w:w="2268" w:type="dxa"/>
            <w:vAlign w:val="center"/>
          </w:tcPr>
          <w:p>
            <w:pPr>
              <w:pStyle w:val="12"/>
            </w:pPr>
            <w:r>
              <w:t>≤20条</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清理质量</w:t>
            </w:r>
          </w:p>
        </w:tc>
        <w:tc>
          <w:tcPr>
            <w:tcW w:w="5386" w:type="dxa"/>
            <w:vAlign w:val="center"/>
          </w:tcPr>
          <w:p>
            <w:pPr>
              <w:pStyle w:val="12"/>
            </w:pPr>
            <w:r>
              <w:t>清理质量</w:t>
            </w:r>
          </w:p>
        </w:tc>
        <w:tc>
          <w:tcPr>
            <w:tcW w:w="2268" w:type="dxa"/>
            <w:vAlign w:val="center"/>
          </w:tcPr>
          <w:p>
            <w:pPr>
              <w:pStyle w:val="12"/>
            </w:pPr>
            <w:r>
              <w:t>达标完成</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完成的时限</w:t>
            </w:r>
          </w:p>
        </w:tc>
        <w:tc>
          <w:tcPr>
            <w:tcW w:w="5386" w:type="dxa"/>
            <w:vAlign w:val="center"/>
          </w:tcPr>
          <w:p>
            <w:pPr>
              <w:pStyle w:val="12"/>
            </w:pPr>
            <w:r>
              <w:t>完成的时限</w:t>
            </w:r>
          </w:p>
        </w:tc>
        <w:tc>
          <w:tcPr>
            <w:tcW w:w="2268" w:type="dxa"/>
            <w:vAlign w:val="center"/>
          </w:tcPr>
          <w:p>
            <w:pPr>
              <w:pStyle w:val="12"/>
            </w:pPr>
            <w:r>
              <w:t>≤1年</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≥95%</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tc>
        <w:tc>
          <w:tcPr>
            <w:tcW w:w="5386" w:type="dxa"/>
            <w:vAlign w:val="center"/>
          </w:tcPr>
          <w:p>
            <w:pPr>
              <w:pStyle w:val="12"/>
            </w:pPr>
            <w:r>
              <w:t>对社会发展带来的影响</w:t>
            </w:r>
          </w:p>
        </w:tc>
        <w:tc>
          <w:tcPr>
            <w:tcW w:w="2268" w:type="dxa"/>
            <w:vAlign w:val="center"/>
          </w:tcPr>
          <w:p>
            <w:pPr>
              <w:pStyle w:val="12"/>
            </w:pPr>
            <w:r>
              <w:t>≥90%</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生态环境质量改善</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环保意识</w:t>
            </w:r>
          </w:p>
        </w:tc>
        <w:tc>
          <w:tcPr>
            <w:tcW w:w="5386" w:type="dxa"/>
            <w:vAlign w:val="center"/>
          </w:tcPr>
          <w:p>
            <w:pPr>
              <w:pStyle w:val="12"/>
            </w:pPr>
            <w:r>
              <w:t>环保意识</w:t>
            </w:r>
          </w:p>
        </w:tc>
        <w:tc>
          <w:tcPr>
            <w:tcW w:w="2268" w:type="dxa"/>
            <w:vAlign w:val="center"/>
          </w:tcPr>
          <w:p>
            <w:pPr>
              <w:pStyle w:val="12"/>
            </w:pPr>
            <w:r>
              <w:t>增强百姓环保意识</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13022925P00JXC410259C</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用于党团妇建设、纪检、宣传经费支出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1.用于党团妇建设、纪检、宣传经费支出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每人金额</w:t>
            </w:r>
          </w:p>
        </w:tc>
        <w:tc>
          <w:tcPr>
            <w:tcW w:w="5386" w:type="dxa"/>
            <w:vAlign w:val="center"/>
          </w:tcPr>
          <w:p>
            <w:pPr>
              <w:pStyle w:val="12"/>
            </w:pPr>
            <w:r>
              <w:t>每人金额</w:t>
            </w:r>
          </w:p>
        </w:tc>
        <w:tc>
          <w:tcPr>
            <w:tcW w:w="2268" w:type="dxa"/>
            <w:vAlign w:val="center"/>
          </w:tcPr>
          <w:p>
            <w:pPr>
              <w:pStyle w:val="12"/>
            </w:pPr>
            <w:r>
              <w:t>2元</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项目完成质量</w:t>
            </w:r>
          </w:p>
        </w:tc>
        <w:tc>
          <w:tcPr>
            <w:tcW w:w="2268" w:type="dxa"/>
            <w:vAlign w:val="center"/>
          </w:tcPr>
          <w:p>
            <w:pPr>
              <w:pStyle w:val="12"/>
            </w:pPr>
            <w:r>
              <w:t>达标完成</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≤1年</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3万元</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宣传我镇特色，有利于吸引投资</w:t>
            </w:r>
          </w:p>
        </w:tc>
        <w:tc>
          <w:tcPr>
            <w:tcW w:w="2268" w:type="dxa"/>
            <w:vAlign w:val="center"/>
          </w:tcPr>
          <w:p>
            <w:pPr>
              <w:pStyle w:val="12"/>
            </w:pPr>
            <w:r>
              <w:t>宣传我镇特色，有利于吸引投资</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社会氛围</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宣传绿色生产方式</w:t>
            </w:r>
          </w:p>
        </w:tc>
        <w:tc>
          <w:tcPr>
            <w:tcW w:w="5386" w:type="dxa"/>
            <w:vAlign w:val="center"/>
          </w:tcPr>
          <w:p>
            <w:pPr>
              <w:pStyle w:val="12"/>
            </w:pPr>
            <w:r>
              <w:t>宣传绿色生产方式</w:t>
            </w:r>
          </w:p>
        </w:tc>
        <w:tc>
          <w:tcPr>
            <w:tcW w:w="2268" w:type="dxa"/>
            <w:vAlign w:val="center"/>
          </w:tcPr>
          <w:p>
            <w:pPr>
              <w:pStyle w:val="12"/>
            </w:pPr>
            <w:r>
              <w:t>宣传绿色生产方式</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有利于协助党组织管理培养干部</w:t>
            </w:r>
          </w:p>
        </w:tc>
        <w:tc>
          <w:tcPr>
            <w:tcW w:w="2268" w:type="dxa"/>
            <w:vAlign w:val="center"/>
          </w:tcPr>
          <w:p>
            <w:pPr>
              <w:pStyle w:val="12"/>
            </w:pPr>
            <w:r>
              <w:t>有利于协助党组织管理培养干部</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w:t>
            </w:r>
          </w:p>
        </w:tc>
        <w:tc>
          <w:tcPr>
            <w:tcW w:w="1276" w:type="dxa"/>
            <w:vAlign w:val="center"/>
          </w:tcPr>
          <w:p>
            <w:pPr>
              <w:pStyle w:val="12"/>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6、土地租金绩效目标表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13022925P000208100064</w:t>
            </w:r>
          </w:p>
        </w:tc>
        <w:tc>
          <w:tcPr>
            <w:tcW w:w="2835" w:type="dxa"/>
            <w:vAlign w:val="center"/>
          </w:tcPr>
          <w:p>
            <w:pPr>
              <w:pStyle w:val="10"/>
            </w:pPr>
            <w:r>
              <w:t>项目名称</w:t>
            </w:r>
          </w:p>
        </w:tc>
        <w:tc>
          <w:tcPr>
            <w:tcW w:w="6095" w:type="dxa"/>
            <w:gridSpan w:val="3"/>
            <w:vAlign w:val="center"/>
          </w:tcPr>
          <w:p>
            <w:pPr>
              <w:pStyle w:val="12"/>
            </w:pPr>
            <w:r>
              <w:t>土地租金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1097200.00</w:t>
            </w:r>
          </w:p>
        </w:tc>
        <w:tc>
          <w:tcPr>
            <w:tcW w:w="2835" w:type="dxa"/>
            <w:vAlign w:val="center"/>
          </w:tcPr>
          <w:p>
            <w:pPr>
              <w:pStyle w:val="10"/>
            </w:pPr>
            <w:r>
              <w:t>其中：财政    资金</w:t>
            </w:r>
          </w:p>
        </w:tc>
        <w:tc>
          <w:tcPr>
            <w:tcW w:w="2551" w:type="dxa"/>
            <w:vAlign w:val="center"/>
          </w:tcPr>
          <w:p>
            <w:pPr>
              <w:pStyle w:val="12"/>
            </w:pPr>
            <w:r>
              <w:t>1097200.00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用于土地租金所需资金支出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1.用于土地租金所需资金支出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涉及村庄数量</w:t>
            </w:r>
          </w:p>
        </w:tc>
        <w:tc>
          <w:tcPr>
            <w:tcW w:w="5386" w:type="dxa"/>
            <w:vAlign w:val="center"/>
          </w:tcPr>
          <w:p>
            <w:pPr>
              <w:pStyle w:val="12"/>
            </w:pPr>
            <w:r>
              <w:t>涉及村庄数量</w:t>
            </w:r>
          </w:p>
        </w:tc>
        <w:tc>
          <w:tcPr>
            <w:tcW w:w="2268" w:type="dxa"/>
            <w:vAlign w:val="center"/>
          </w:tcPr>
          <w:p>
            <w:pPr>
              <w:pStyle w:val="12"/>
            </w:pPr>
            <w:r>
              <w:t>7个</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≤1年</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109.72万元</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促进全镇经济健康发展</w:t>
            </w:r>
          </w:p>
        </w:tc>
        <w:tc>
          <w:tcPr>
            <w:tcW w:w="2268" w:type="dxa"/>
            <w:vAlign w:val="center"/>
          </w:tcPr>
          <w:p>
            <w:pPr>
              <w:pStyle w:val="12"/>
            </w:pPr>
            <w:r>
              <w:t>提高小城镇建设水平</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土地利用率</w:t>
            </w:r>
          </w:p>
        </w:tc>
        <w:tc>
          <w:tcPr>
            <w:tcW w:w="5386" w:type="dxa"/>
            <w:vAlign w:val="center"/>
          </w:tcPr>
          <w:p>
            <w:pPr>
              <w:pStyle w:val="12"/>
            </w:pPr>
            <w:r>
              <w:t>土地利用率</w:t>
            </w:r>
          </w:p>
        </w:tc>
        <w:tc>
          <w:tcPr>
            <w:tcW w:w="2268" w:type="dxa"/>
            <w:vAlign w:val="center"/>
          </w:tcPr>
          <w:p>
            <w:pPr>
              <w:pStyle w:val="12"/>
            </w:pPr>
            <w:r>
              <w:t>提高土地利用率</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对区域生态改善</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7、污水处理费用绩效目标表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13022925P000150100038</w:t>
            </w:r>
          </w:p>
        </w:tc>
        <w:tc>
          <w:tcPr>
            <w:tcW w:w="2835" w:type="dxa"/>
            <w:vAlign w:val="center"/>
          </w:tcPr>
          <w:p>
            <w:pPr>
              <w:pStyle w:val="10"/>
            </w:pPr>
            <w:r>
              <w:t>项目名称</w:t>
            </w:r>
          </w:p>
        </w:tc>
        <w:tc>
          <w:tcPr>
            <w:tcW w:w="6095" w:type="dxa"/>
            <w:gridSpan w:val="3"/>
            <w:vAlign w:val="center"/>
          </w:tcPr>
          <w:p>
            <w:pPr>
              <w:pStyle w:val="12"/>
            </w:pPr>
            <w:r>
              <w:t>污水处理费用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11620000.00</w:t>
            </w:r>
          </w:p>
        </w:tc>
        <w:tc>
          <w:tcPr>
            <w:tcW w:w="2835" w:type="dxa"/>
            <w:vAlign w:val="center"/>
          </w:tcPr>
          <w:p>
            <w:pPr>
              <w:pStyle w:val="10"/>
            </w:pPr>
            <w:r>
              <w:t>其中：财政    资金</w:t>
            </w:r>
          </w:p>
        </w:tc>
        <w:tc>
          <w:tcPr>
            <w:tcW w:w="2551" w:type="dxa"/>
            <w:vAlign w:val="center"/>
          </w:tcPr>
          <w:p>
            <w:pPr>
              <w:pStyle w:val="12"/>
            </w:pPr>
            <w:r>
              <w:t>11620000.00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2025年污水处理费用按时支出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1.2025年污水处理费用按时支出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污水处理厂个数</w:t>
            </w:r>
          </w:p>
        </w:tc>
        <w:tc>
          <w:tcPr>
            <w:tcW w:w="5386" w:type="dxa"/>
            <w:vAlign w:val="center"/>
          </w:tcPr>
          <w:p>
            <w:pPr>
              <w:pStyle w:val="12"/>
            </w:pPr>
            <w:r>
              <w:t>污水处理厂个数</w:t>
            </w:r>
          </w:p>
        </w:tc>
        <w:tc>
          <w:tcPr>
            <w:tcW w:w="2268" w:type="dxa"/>
            <w:vAlign w:val="center"/>
          </w:tcPr>
          <w:p>
            <w:pPr>
              <w:pStyle w:val="12"/>
            </w:pPr>
            <w:r>
              <w:t>1个</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污水处理合格率</w:t>
            </w:r>
          </w:p>
        </w:tc>
        <w:tc>
          <w:tcPr>
            <w:tcW w:w="5386" w:type="dxa"/>
            <w:vAlign w:val="center"/>
          </w:tcPr>
          <w:p>
            <w:pPr>
              <w:pStyle w:val="12"/>
            </w:pPr>
            <w:r>
              <w:t>污水处理合格率</w:t>
            </w:r>
          </w:p>
        </w:tc>
        <w:tc>
          <w:tcPr>
            <w:tcW w:w="2268" w:type="dxa"/>
            <w:vAlign w:val="center"/>
          </w:tcPr>
          <w:p>
            <w:pPr>
              <w:pStyle w:val="12"/>
            </w:pPr>
            <w:r>
              <w:t>≥95%</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≤1年</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成本指标</w:t>
            </w:r>
          </w:p>
        </w:tc>
        <w:tc>
          <w:tcPr>
            <w:tcW w:w="2268" w:type="dxa"/>
            <w:vAlign w:val="center"/>
          </w:tcPr>
          <w:p>
            <w:pPr>
              <w:pStyle w:val="12"/>
            </w:pPr>
            <w:r>
              <w:t>1162万元</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提高经济效益</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水质达标率</w:t>
            </w:r>
          </w:p>
        </w:tc>
        <w:tc>
          <w:tcPr>
            <w:tcW w:w="5386" w:type="dxa"/>
            <w:vAlign w:val="center"/>
          </w:tcPr>
          <w:p>
            <w:pPr>
              <w:pStyle w:val="12"/>
            </w:pPr>
            <w:r>
              <w:t>水质达标率提高</w:t>
            </w:r>
          </w:p>
        </w:tc>
        <w:tc>
          <w:tcPr>
            <w:tcW w:w="2268" w:type="dxa"/>
            <w:vAlign w:val="center"/>
          </w:tcPr>
          <w:p>
            <w:pPr>
              <w:pStyle w:val="12"/>
            </w:pPr>
            <w:r>
              <w:t>水质达标率提高</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节能环保减排</w:t>
            </w:r>
          </w:p>
        </w:tc>
        <w:tc>
          <w:tcPr>
            <w:tcW w:w="5386" w:type="dxa"/>
            <w:vAlign w:val="center"/>
          </w:tcPr>
          <w:p>
            <w:pPr>
              <w:pStyle w:val="12"/>
            </w:pPr>
            <w:r>
              <w:t>节能环保减排</w:t>
            </w:r>
          </w:p>
        </w:tc>
        <w:tc>
          <w:tcPr>
            <w:tcW w:w="2268" w:type="dxa"/>
            <w:vAlign w:val="center"/>
          </w:tcPr>
          <w:p>
            <w:pPr>
              <w:pStyle w:val="12"/>
            </w:pPr>
            <w:r>
              <w:t>节能环保减排</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规范行业</w:t>
            </w:r>
          </w:p>
        </w:tc>
        <w:tc>
          <w:tcPr>
            <w:tcW w:w="5386" w:type="dxa"/>
            <w:vAlign w:val="center"/>
          </w:tcPr>
          <w:p>
            <w:pPr>
              <w:pStyle w:val="12"/>
            </w:pPr>
            <w:r>
              <w:t>规范行业</w:t>
            </w:r>
          </w:p>
        </w:tc>
        <w:tc>
          <w:tcPr>
            <w:tcW w:w="2268" w:type="dxa"/>
            <w:vAlign w:val="center"/>
          </w:tcPr>
          <w:p>
            <w:pPr>
              <w:pStyle w:val="12"/>
            </w:pPr>
            <w:r>
              <w:t>规范行业</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2025年年初预算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13022925P00JXC410255X</w:t>
            </w:r>
          </w:p>
        </w:tc>
        <w:tc>
          <w:tcPr>
            <w:tcW w:w="2835" w:type="dxa"/>
            <w:vAlign w:val="center"/>
          </w:tcPr>
          <w:p>
            <w:pPr>
              <w:pStyle w:val="10"/>
            </w:pPr>
            <w:r>
              <w:t>项目名称</w:t>
            </w:r>
          </w:p>
        </w:tc>
        <w:tc>
          <w:tcPr>
            <w:tcW w:w="6095" w:type="dxa"/>
            <w:gridSpan w:val="3"/>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乡镇人工作站建设完善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1.乡镇人工作站建设完善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工作站数量</w:t>
            </w:r>
          </w:p>
        </w:tc>
        <w:tc>
          <w:tcPr>
            <w:tcW w:w="5386" w:type="dxa"/>
            <w:vAlign w:val="center"/>
          </w:tcPr>
          <w:p>
            <w:pPr>
              <w:pStyle w:val="12"/>
            </w:pPr>
            <w:r>
              <w:t>工作站数量</w:t>
            </w:r>
          </w:p>
        </w:tc>
        <w:tc>
          <w:tcPr>
            <w:tcW w:w="2268" w:type="dxa"/>
            <w:vAlign w:val="center"/>
          </w:tcPr>
          <w:p>
            <w:pPr>
              <w:pStyle w:val="12"/>
            </w:pPr>
            <w:r>
              <w:t>1个</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保证工作正常开展</w:t>
            </w:r>
          </w:p>
        </w:tc>
        <w:tc>
          <w:tcPr>
            <w:tcW w:w="5386" w:type="dxa"/>
            <w:vAlign w:val="center"/>
          </w:tcPr>
          <w:p>
            <w:pPr>
              <w:pStyle w:val="12"/>
            </w:pPr>
            <w:r>
              <w:t>保证工作正常开展</w:t>
            </w:r>
          </w:p>
        </w:tc>
        <w:tc>
          <w:tcPr>
            <w:tcW w:w="2268" w:type="dxa"/>
            <w:vAlign w:val="center"/>
          </w:tcPr>
          <w:p>
            <w:pPr>
              <w:pStyle w:val="12"/>
            </w:pPr>
            <w:r>
              <w:t>保证工作正常开展</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≤1年</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≥95%</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有利于了解民情、反映民意、传达民声</w:t>
            </w:r>
          </w:p>
        </w:tc>
        <w:tc>
          <w:tcPr>
            <w:tcW w:w="2268" w:type="dxa"/>
            <w:vAlign w:val="center"/>
          </w:tcPr>
          <w:p>
            <w:pPr>
              <w:pStyle w:val="12"/>
            </w:pPr>
            <w:r>
              <w:t>有利于了解民情、反映民意、传达民声</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长效机制</w:t>
            </w:r>
          </w:p>
        </w:tc>
        <w:tc>
          <w:tcPr>
            <w:tcW w:w="5386" w:type="dxa"/>
            <w:vAlign w:val="center"/>
          </w:tcPr>
          <w:p>
            <w:pPr>
              <w:pStyle w:val="12"/>
            </w:pPr>
            <w:r>
              <w:t>完善各项工作制度，使人大活动规范化</w:t>
            </w:r>
          </w:p>
        </w:tc>
        <w:tc>
          <w:tcPr>
            <w:tcW w:w="2268" w:type="dxa"/>
            <w:vAlign w:val="center"/>
          </w:tcPr>
          <w:p>
            <w:pPr>
              <w:pStyle w:val="12"/>
            </w:pPr>
            <w:r>
              <w:t>完善各项工作制度，使人大活动规范化</w:t>
            </w:r>
          </w:p>
        </w:tc>
        <w:tc>
          <w:tcPr>
            <w:tcW w:w="1276" w:type="dxa"/>
            <w:vAlign w:val="center"/>
          </w:tcPr>
          <w:p>
            <w:pPr>
              <w:pStyle w:val="12"/>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≥90%</w:t>
            </w:r>
          </w:p>
        </w:tc>
        <w:tc>
          <w:tcPr>
            <w:tcW w:w="1276" w:type="dxa"/>
            <w:vAlign w:val="center"/>
          </w:tcPr>
          <w:p>
            <w:pPr>
              <w:pStyle w:val="12"/>
            </w:pPr>
            <w:r>
              <w:t>2025年年初预算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eastAsia="zh-CN"/>
              </w:rPr>
            </w:pPr>
            <w:r>
              <w:rPr>
                <w:rFonts w:hint="eastAsia"/>
                <w:lang w:eastAsia="zh-CN"/>
              </w:rPr>
              <w:t>公务用车运行维护费</w:t>
            </w:r>
          </w:p>
        </w:tc>
        <w:tc>
          <w:tcPr>
            <w:tcW w:w="964" w:type="dxa"/>
            <w:vAlign w:val="center"/>
          </w:tcPr>
          <w:p>
            <w:pPr>
              <w:pStyle w:val="11"/>
              <w:rPr>
                <w:rFonts w:hint="default" w:eastAsia="方正书宋_GBK"/>
                <w:lang w:val="en-US" w:eastAsia="zh-CN"/>
              </w:rPr>
            </w:pPr>
            <w:r>
              <w:rPr>
                <w:rFonts w:hint="eastAsia"/>
                <w:lang w:val="en-US" w:eastAsia="zh-CN"/>
              </w:rPr>
              <w:t>46000.00</w:t>
            </w:r>
          </w:p>
        </w:tc>
        <w:tc>
          <w:tcPr>
            <w:tcW w:w="1134" w:type="dxa"/>
            <w:vAlign w:val="center"/>
          </w:tcPr>
          <w:p>
            <w:pPr>
              <w:pStyle w:val="12"/>
            </w:pPr>
          </w:p>
        </w:tc>
        <w:tc>
          <w:tcPr>
            <w:tcW w:w="1134" w:type="dxa"/>
            <w:vAlign w:val="center"/>
          </w:tcPr>
          <w:p>
            <w:pPr>
              <w:pStyle w:val="12"/>
            </w:pPr>
          </w:p>
        </w:tc>
        <w:tc>
          <w:tcPr>
            <w:tcW w:w="709" w:type="dxa"/>
            <w:vAlign w:val="center"/>
          </w:tcPr>
          <w:p>
            <w:pPr>
              <w:pStyle w:val="13"/>
              <w:rPr>
                <w:rFonts w:hint="eastAsia" w:eastAsia="方正书宋_GBK"/>
                <w:lang w:val="en-US" w:eastAsia="zh-CN"/>
              </w:rPr>
            </w:pPr>
            <w:r>
              <w:rPr>
                <w:rFonts w:hint="eastAsia"/>
                <w:lang w:val="en-US" w:eastAsia="zh-CN"/>
              </w:rPr>
              <w:t>元</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46000.00</w:t>
            </w:r>
          </w:p>
        </w:tc>
        <w:tc>
          <w:tcPr>
            <w:tcW w:w="964" w:type="dxa"/>
            <w:vAlign w:val="center"/>
          </w:tcPr>
          <w:p>
            <w:pPr>
              <w:pStyle w:val="11"/>
              <w:rPr>
                <w:rFonts w:hint="default" w:eastAsia="方正书宋_GBK"/>
                <w:lang w:val="en-US" w:eastAsia="zh-CN"/>
              </w:rPr>
            </w:pPr>
            <w:r>
              <w:rPr>
                <w:rFonts w:hint="eastAsia"/>
                <w:lang w:val="en-US" w:eastAsia="zh-CN"/>
              </w:rPr>
              <w:t>46000.00</w:t>
            </w:r>
          </w:p>
        </w:tc>
        <w:tc>
          <w:tcPr>
            <w:tcW w:w="964" w:type="dxa"/>
            <w:vAlign w:val="center"/>
          </w:tcPr>
          <w:p>
            <w:pPr>
              <w:pStyle w:val="11"/>
              <w:rPr>
                <w:rFonts w:hint="default" w:eastAsia="方正书宋_GBK"/>
                <w:lang w:val="en-US" w:eastAsia="zh-CN"/>
              </w:rPr>
            </w:pPr>
            <w:r>
              <w:rPr>
                <w:rFonts w:hint="eastAsia"/>
                <w:lang w:val="en-US" w:eastAsia="zh-CN"/>
              </w:rPr>
              <w:t>46000.00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玉田县鸦鸿桥镇人民政府本级上年末固定资产金额为1262600.00元（详见下表）。本年度拟购置固定资产总额为</w:t>
      </w:r>
      <w:r>
        <w:rPr>
          <w:rFonts w:hint="eastAsia" w:eastAsia="方正仿宋_GBK" w:cs="Times New Roman"/>
          <w:b w:val="0"/>
          <w:color w:val="000000"/>
          <w:sz w:val="28"/>
          <w:lang w:val="en-US" w:eastAsia="zh-CN"/>
        </w:rPr>
        <w:t>4600</w:t>
      </w:r>
      <w:r>
        <w:rPr>
          <w:rFonts w:ascii="Times New Roman" w:hAnsi="Times New Roman" w:eastAsia="方正仿宋_GBK" w:cs="Times New Roman"/>
          <w:b w:val="0"/>
          <w:color w:val="000000"/>
          <w:sz w:val="28"/>
        </w:rPr>
        <w:t>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496001玉田县鸦鸿桥镇人民政府本级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1262600.00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1262600.00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4C38"/>
    <w:rsid w:val="0E20133D"/>
    <w:rsid w:val="11460865"/>
    <w:rsid w:val="13A825CD"/>
    <w:rsid w:val="144A1DD6"/>
    <w:rsid w:val="16C950A4"/>
    <w:rsid w:val="19946E05"/>
    <w:rsid w:val="1C6F4FB4"/>
    <w:rsid w:val="205A0DA2"/>
    <w:rsid w:val="23825F7D"/>
    <w:rsid w:val="2BAF3810"/>
    <w:rsid w:val="31312245"/>
    <w:rsid w:val="39D9507A"/>
    <w:rsid w:val="4A4D7CF5"/>
    <w:rsid w:val="4C79440B"/>
    <w:rsid w:val="54A85071"/>
    <w:rsid w:val="57B2081B"/>
    <w:rsid w:val="5FED4773"/>
    <w:rsid w:val="61A700C2"/>
    <w:rsid w:val="663414BA"/>
    <w:rsid w:val="72CD12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39</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2025-01-20T18:39:00Z</dcterms:created>
  <dc:creator>Administrator</dc:creator>
  <cp:lastModifiedBy>Administrator</cp:lastModifiedBy>
  <dcterms:modified xsi:type="dcterms:W3CDTF">2025-01-23T07:42:43Z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4235C79543F043248509F7DF483EAFD6</vt:lpwstr>
  </property>
</Properties>
</file>