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玉田县疾控中心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玉田县疾控中心编制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1.残疾人保障金39000元绩效目标表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2.健康风向标绩效目标表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3.农村饮用水检测绩效目标表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公共卫生是保障人民大众身心健康的公共事业，包括提供基本公共卫生服务，疾病预防控制，对突发公共卫生事件的应急处置，促进妇女儿童健康，食品安全风险监测与地方标准制（修）订等各项工作。</w:t>
      </w:r>
    </w:p>
    <w:p>
      <w:pPr>
        <w:pStyle w:val="插入文本样式-插入总体目标文件"/>
      </w:pPr>
      <w:r>
        <w:t xml:space="preserve">推进基本公共卫生服务均等化；控制各类重大疾病的发生与传播；有效应对我省突发公共卫生事件；保障妇女儿童身心健康；提高食品安全风险预警能力，为保障食品安全提供技术支撑。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玉田县疾病预防控制中心2024年10月在岗 47人（含新招录未批工资 2人）；调出1人；退休 33人（其中退休干部23人；退休工人10人）；遗属 2 人。2025年申请支出预算8446655.24元，其中基本支出7777655.24元，包括人员经费 6178455.24元；公用经费1599200.00 元。项目经费669000.00具体情况：</w:t>
      </w:r>
    </w:p>
    <w:p>
      <w:pPr>
        <w:pStyle w:val="插入文本样式-插入职责分类绩效目标文件"/>
      </w:pPr>
      <w:r>
        <w:t xml:space="preserve">公用经费情况</w:t>
      </w:r>
    </w:p>
    <w:p>
      <w:pPr>
        <w:pStyle w:val="插入文本样式-插入职责分类绩效目标文件"/>
      </w:pPr>
      <w:r>
        <w:t xml:space="preserve">2025年预算申请公用经费1599200.00元。其中按标准安排的邮电费 9600元；退休干部公用经费9200元；退休干部特需费4600元；退休福利费24750元（33*750）；在职工会费37600元（47*800）、福利费47000（47*1000）</w:t>
      </w:r>
    </w:p>
    <w:p>
      <w:pPr>
        <w:pStyle w:val="插入文本样式-插入职责分类绩效目标文件"/>
      </w:pPr>
      <w:r>
        <w:t xml:space="preserve">和其他非定额标准公用经费：办公费 80000元（依照往年办公费支出资金缺口较大，电脑耗材、办公耗材、书报费等项目支出每年剧增，需安排资金大一些。）差旅费23500元；邮电费6600元（财政报账内网2400；政府内网4200）培训费23500元</w:t>
      </w:r>
    </w:p>
    <w:p>
      <w:pPr>
        <w:pStyle w:val="插入文本样式-插入职责分类绩效目标文件"/>
      </w:pPr>
      <w:r>
        <w:t xml:space="preserve">水费 20000  元；电费30000；取暖费105000元（玉田县疾病预防控制中心和玉田县卫生监督所分摊使用。）</w:t>
      </w:r>
    </w:p>
    <w:p>
      <w:pPr>
        <w:pStyle w:val="插入文本样式-插入职责分类绩效目标文件"/>
      </w:pPr>
      <w:r>
        <w:t xml:space="preserve">维修（护）费 80000 元（用于办公楼及水暖电及附属设施维修以及消防设施维修），公务用车运行维护费119000元。</w:t>
      </w:r>
    </w:p>
    <w:p>
      <w:pPr>
        <w:pStyle w:val="插入文本样式-插入职责分类绩效目标文件"/>
      </w:pPr>
      <w:r>
        <w:t xml:space="preserve">印刷费80000元（用于日常工作，日常业务、机关正常政策宣传单、信封、档案袋、公文纸等）</w:t>
      </w:r>
    </w:p>
    <w:p>
      <w:pPr>
        <w:pStyle w:val="插入文本样式-插入职责分类绩效目标文件"/>
      </w:pPr>
      <w:r>
        <w:t xml:space="preserve">专用材料100000元；劳务费 620000   元，其他业务费200000元；</w:t>
      </w:r>
    </w:p>
    <w:p>
      <w:pPr>
        <w:pStyle w:val="插入文本样式-插入职责分类绩效目标文件"/>
      </w:pPr>
      <w:r>
        <w:t xml:space="preserve">项目经费情况</w:t>
      </w:r>
    </w:p>
    <w:p>
      <w:pPr>
        <w:pStyle w:val="插入文本样式-插入职责分类绩效目标文件"/>
      </w:pPr>
      <w:r>
        <w:t xml:space="preserve">1.健康风向标30000元；健康风向标项目按照内容每天播放10-15分钟，以传染病防控知识制作专题片，每月更换相关内容。在玉田影视和玉田公共两个频道365天不间断播放。预算资金3万元。</w:t>
      </w:r>
    </w:p>
    <w:p>
      <w:pPr>
        <w:pStyle w:val="插入文本样式-插入职责分类绩效目标文件"/>
      </w:pPr>
      <w:r>
        <w:t xml:space="preserve">2.农村饮用水检测600000元；依据冀水农（2019）14号文件精神，我单位担任全县每个季度的公示水、枯水期、丰水期的水质检测、和饮用水应急处置等工作；预算资金20万元；并承担全县农村饮用水安全水质检测任务，需要40万元，合计60万元。</w:t>
      </w:r>
    </w:p>
    <w:p>
      <w:pPr>
        <w:pStyle w:val="插入文本样式-插入职责分类绩效目标文件"/>
      </w:pPr>
      <w:r>
        <w:t xml:space="preserve">3.残疾人保障金3.9万元；用于残疾人保障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绩效目标:</w:t>
      </w:r>
    </w:p>
    <w:p>
      <w:pPr>
        <w:pStyle w:val="插入文本样式-插入职责分类绩效目标文件"/>
      </w:pPr>
      <w:r>
        <w:t xml:space="preserve">1.提高重点疾病监测水平，有效落实疾病防控措施</w:t>
      </w:r>
    </w:p>
    <w:p>
      <w:pPr>
        <w:pStyle w:val="插入文本样式-插入职责分类绩效目标文件"/>
      </w:pPr>
      <w:r>
        <w:t xml:space="preserve">绩效指标:</w:t>
      </w:r>
    </w:p>
    <w:p>
      <w:pPr>
        <w:pStyle w:val="插入文本样式-插入职责分类绩效目标文件"/>
      </w:pPr>
      <w:r>
        <w:t xml:space="preserve">职业健康监护开展率</w:t>
      </w:r>
    </w:p>
    <w:p>
      <w:pPr>
        <w:pStyle w:val="插入文本样式-插入职责分类绩效目标文件"/>
      </w:pPr>
      <w:r>
        <w:t xml:space="preserve">2.提高重点疾病监测水平，有效落实疾病防控措施</w:t>
      </w:r>
    </w:p>
    <w:p>
      <w:pPr>
        <w:pStyle w:val="插入文本样式-插入职责分类绩效目标文件"/>
      </w:pPr>
      <w:r>
        <w:t xml:space="preserve">疫情报告管理率</w:t>
      </w:r>
    </w:p>
    <w:p>
      <w:pPr>
        <w:pStyle w:val="插入文本样式-插入职责分类绩效目标文件"/>
      </w:pPr>
      <w:r>
        <w:t xml:space="preserve">3.提高重点疾病监测水平，有效落实疾病防控措施</w:t>
      </w:r>
    </w:p>
    <w:p>
      <w:pPr>
        <w:pStyle w:val="插入文本样式-插入职责分类绩效目标文件"/>
      </w:pPr>
      <w:r>
        <w:t xml:space="preserve">适龄儿童免疫规划疫苗接种率</w:t>
      </w:r>
    </w:p>
    <w:p>
      <w:pPr>
        <w:pStyle w:val="插入文本样式-插入职责分类绩效目标文件"/>
      </w:pPr>
      <w:r>
        <w:t xml:space="preserve">4.提高重点疾病监测水平，有效落实疾病防控措施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高血压和糖尿病患者管理率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公共卫生是保障人民大众身心健康的公共事业，包括提供基本公共卫生服务，疾病预防控制，对突发公共卫生事件的应急处置，促进妇女儿童健康，食品安全风险监测与地方标准制（修）订等各项工作。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1.残疾人保障金39000元绩效目标表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371001玉田县疾控中心本级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13022925P00JXC419643U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残疾人保障金39000元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39000.00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1.完成残疾人保障金支出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按计划完成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按计划完成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整体质量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整体质量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资金单位率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资金单位率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对成本进行核算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对成本进行核算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环保生态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环保生态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科室业务能力增强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科室业务能力增强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提高办公效率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提高办公效率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合规支出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合规支出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2.健康风向标绩效目标表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371001玉田县疾控中心本级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13022925P00JXC410272T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健康风向标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开展传染病防控专题宣传，普及传染病预防知识。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1.我单位每年均以传染病防控知识为主要内容制作专题宣传片，定时更换主题，在玉田影视和玉田公共两个频道以健康风向标栏目365天不间断播放。开展传染病防控专题宣传，普及传染病预防知识。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完成统计工作数量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完成统计工作数量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节目质量合格率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节目质量合格率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工作完成的时效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工作完成的时效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完成项目的成本控制在预算水平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≤90项目实施方案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3.农村饮用水检测绩效目标表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371001玉田县疾控中心本级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13022925P00JXC410275M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农村饮用水检测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玉财社【2023】05号，我单位承担全县农村饮用水安全水质检测任务。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1.玉财社【2023】05号，我单位承担全县农村饮用水安全水质检测任务。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完成项目的成本控制在预算水平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≤90项目实施方案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≥98项目实施方案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11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2025-01-17T18:15:00Z</dcterms:created>
  <dcterms:modified xsi:type="dcterms:W3CDTF">2025-01-17T18:15:00Z</dcterms:modified>
</cp:coreProperties>
</file>